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39480"/>
      <w:bookmarkEnd w:id="0"/>
      <w:bookmarkStart w:id="1" w:name="_Hlt449016246"/>
      <w:bookmarkEnd w:id="1"/>
      <w:bookmarkStart w:id="2" w:name="_Hlt448930105"/>
      <w:bookmarkEnd w:id="2"/>
      <w:bookmarkStart w:id="3" w:name="_Hlt450066085"/>
      <w:bookmarkEnd w:id="3"/>
      <w:bookmarkStart w:id="4" w:name="_Hlt450066087"/>
      <w:bookmarkEnd w:id="4"/>
      <w:bookmarkStart w:id="5" w:name="_Hlt450051172"/>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10358</w:t>
      </w:r>
      <w:bookmarkStart w:id="8" w:name="_GoBack"/>
      <w:bookmarkEnd w:id="8"/>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UE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7.7.5</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107</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 xml:space="preserve">from </w:t>
      </w:r>
      <w:r>
        <w:rPr>
          <w:rFonts w:hint="eastAsia"/>
          <w:i w:val="0"/>
          <w:iCs w:val="0"/>
          <w:sz w:val="20"/>
          <w:szCs w:val="20"/>
          <w:lang w:val="en-US" w:eastAsia="zh-CN"/>
        </w:rPr>
        <w:t>UE RF</w:t>
      </w:r>
      <w:r>
        <w:rPr>
          <w:rFonts w:hint="default"/>
          <w:i w:val="0"/>
          <w:iCs w:val="0"/>
          <w:sz w:val="20"/>
          <w:szCs w:val="20"/>
          <w:lang w:val="en-US" w:eastAsia="zh-CN"/>
        </w:rPr>
        <w:t xml:space="preserve">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2</w:t>
            </w:r>
            <w:r>
              <w:rPr>
                <w:sz w:val="20"/>
                <w:szCs w:val="20"/>
              </w:rPr>
              <w:t xml:space="preserve"> (The US is in scope for the WI using the current allocation of the Ku band. The band introduction in specification is pending FCC decision)</w:t>
            </w:r>
            <w:r>
              <w:rPr>
                <w:bCs/>
                <w:sz w:val="20"/>
                <w:szCs w:val="20"/>
              </w:rPr>
              <w:t>:</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 xml:space="preserve">For ITU regions 2 </w:t>
            </w:r>
            <w:r>
              <w:rPr>
                <w:sz w:val="20"/>
                <w:szCs w:val="20"/>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rPr>
            </w:pPr>
            <w:r>
              <w:rPr>
                <w:sz w:val="20"/>
                <w:szCs w:val="20"/>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D</w:t>
            </w:r>
            <w:r>
              <w:rPr>
                <w:rFonts w:hint="eastAsia"/>
                <w:sz w:val="20"/>
                <w:szCs w:val="20"/>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w:t>
            </w:r>
            <w:r>
              <w:rPr>
                <w:rFonts w:hint="eastAsia"/>
                <w:sz w:val="20"/>
                <w:szCs w:val="20"/>
                <w:lang w:eastAsia="zh-TW"/>
              </w:rPr>
              <w:t xml:space="preserve"> </w:t>
            </w:r>
            <w:r>
              <w:rPr>
                <w:sz w:val="20"/>
                <w:szCs w:val="20"/>
              </w:rPr>
              <w:t>10 MHz</w:t>
            </w:r>
            <w:r>
              <w:rPr>
                <w:rFonts w:hint="eastAsia"/>
                <w:sz w:val="20"/>
                <w:szCs w:val="20"/>
                <w:lang w:eastAsia="zh-TW"/>
              </w:rPr>
              <w:t>,</w:t>
            </w:r>
            <w:r>
              <w:rPr>
                <w:sz w:val="20"/>
                <w:szCs w:val="20"/>
              </w:rPr>
              <w:t xml:space="preserve"> 20 MHz, 25 MHz, 35 MHz, 50 MHz, 70 MHz and 100 MHz channel bandwidths with 30 kHz subcarrier spacing, and 10MHz, 15MHz, 25MHz, 35MHz and 50MHz channel bandwidths with 15 kHz subcarrier spacing. </w:t>
            </w:r>
          </w:p>
          <w:p>
            <w:pPr>
              <w:pStyle w:val="34"/>
              <w:numPr>
                <w:ilvl w:val="2"/>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Note: Same subcarrier spacing is assumed for SSB and data channels</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r>
              <w:rPr>
                <w:sz w:val="20"/>
                <w:szCs w:val="20"/>
                <w:lang w:eastAsia="zh-TW"/>
              </w:rPr>
              <w:t>.</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lang w:eastAsia="zh-TW"/>
              </w:rPr>
              <w:t>Note: Simultaneous operation of FR1-NTN and FR2-NTN numerology is not supported in the UE</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NOTE:</w:t>
            </w:r>
            <w:r>
              <w:rPr>
                <w:sz w:val="20"/>
                <w:szCs w:val="20"/>
              </w:rPr>
              <w:tab/>
            </w:r>
            <w:r>
              <w:rPr>
                <w:sz w:val="20"/>
                <w:szCs w:val="20"/>
              </w:rPr>
              <w:t>RRM requirements are defined for VSAT supporting FR1-NTN operation only, or for FR2-NTN operation only.</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sz w:val="20"/>
          <w:szCs w:val="18"/>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eastAsia="zh-CN"/>
        </w:rPr>
      </w:pPr>
      <w:r>
        <w:rPr>
          <w:rFonts w:hint="eastAsia"/>
          <w:sz w:val="24"/>
          <w:szCs w:val="18"/>
          <w:lang w:val="en-US" w:eastAsia="zh-CN"/>
        </w:rPr>
        <w:t>2.1 RB configuration for EIRP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Issue 1-2-</w:t>
            </w:r>
            <w:r>
              <w:rPr>
                <w:rFonts w:hint="eastAsia" w:eastAsia="PMingLiU"/>
                <w:sz w:val="20"/>
                <w:szCs w:val="20"/>
                <w:lang w:val="en-US" w:eastAsia="zh-TW"/>
              </w:rPr>
              <w:t>4</w:t>
            </w:r>
            <w:r>
              <w:rPr>
                <w:sz w:val="20"/>
                <w:szCs w:val="20"/>
                <w:lang w:val="en-US"/>
              </w:rPr>
              <w:t>:</w:t>
            </w:r>
            <w:r>
              <w:rPr>
                <w:rFonts w:hint="eastAsia" w:eastAsia="PMingLiU"/>
                <w:sz w:val="20"/>
                <w:szCs w:val="20"/>
                <w:lang w:val="en-US" w:eastAsia="zh-TW"/>
              </w:rPr>
              <w:t xml:space="preserve"> RB configuration for EIRP requirement</w:t>
            </w:r>
          </w:p>
          <w:p>
            <w:pPr>
              <w:keepNext/>
              <w:overflowPunct w:val="0"/>
              <w:autoSpaceDE w:val="0"/>
              <w:autoSpaceDN w:val="0"/>
              <w:adjustRightInd w:val="0"/>
              <w:spacing w:after="120" w:line="259" w:lineRule="auto"/>
              <w:textAlignment w:val="baseline"/>
              <w:rPr>
                <w:rFonts w:eastAsiaTheme="minorEastAsia"/>
                <w:sz w:val="20"/>
                <w:szCs w:val="20"/>
                <w:highlight w:val="green"/>
                <w:lang w:val="en-US" w:eastAsia="zh-TW"/>
              </w:rPr>
            </w:pPr>
            <w:r>
              <w:rPr>
                <w:rFonts w:hint="eastAsia" w:eastAsiaTheme="minorEastAsia"/>
                <w:sz w:val="20"/>
                <w:szCs w:val="20"/>
                <w:highlight w:val="green"/>
                <w:lang w:val="en-US" w:eastAsia="zh-TW"/>
              </w:rPr>
              <w:t>Agreement:</w:t>
            </w:r>
          </w:p>
          <w:p>
            <w:pPr>
              <w:keepNext/>
              <w:overflowPunct w:val="0"/>
              <w:autoSpaceDE w:val="0"/>
              <w:autoSpaceDN w:val="0"/>
              <w:adjustRightInd w:val="0"/>
              <w:spacing w:after="120" w:line="259" w:lineRule="auto"/>
              <w:ind w:firstLine="284"/>
              <w:textAlignment w:val="baseline"/>
              <w:rPr>
                <w:rFonts w:eastAsia="PMingLiU"/>
                <w:sz w:val="20"/>
                <w:szCs w:val="20"/>
                <w:highlight w:val="green"/>
                <w:lang w:val="en-US" w:eastAsia="zh-TW"/>
              </w:rPr>
            </w:pPr>
            <w:r>
              <w:rPr>
                <w:rFonts w:hint="eastAsia" w:eastAsia="PMingLiU"/>
                <w:sz w:val="20"/>
                <w:szCs w:val="20"/>
                <w:highlight w:val="green"/>
                <w:lang w:val="en-US" w:eastAsia="zh-TW"/>
              </w:rPr>
              <w:t>- Consider both minimum peak &amp; maximum EIRP to be defined using RB allocation around 10~20MHz for the NTN Ku band VSAT as the starting point</w:t>
            </w:r>
          </w:p>
          <w:p>
            <w:pPr>
              <w:keepNext/>
              <w:overflowPunct w:val="0"/>
              <w:autoSpaceDE w:val="0"/>
              <w:autoSpaceDN w:val="0"/>
              <w:adjustRightInd w:val="0"/>
              <w:spacing w:after="120" w:line="259" w:lineRule="auto"/>
              <w:ind w:left="284" w:firstLine="284"/>
              <w:textAlignment w:val="baseline"/>
              <w:rPr>
                <w:rFonts w:hint="eastAsia"/>
                <w:sz w:val="20"/>
                <w:szCs w:val="20"/>
                <w:highlight w:val="none"/>
                <w:vertAlign w:val="baseline"/>
                <w:lang w:val="en-US" w:eastAsia="zh-CN"/>
              </w:rPr>
            </w:pPr>
            <w:r>
              <w:rPr>
                <w:rFonts w:hint="eastAsia" w:eastAsiaTheme="minorEastAsia"/>
                <w:sz w:val="20"/>
                <w:szCs w:val="20"/>
                <w:highlight w:val="green"/>
                <w:lang w:val="en-US" w:eastAsia="zh-TW"/>
              </w:rPr>
              <w:t>- Consider t</w:t>
            </w:r>
            <w:r>
              <w:rPr>
                <w:rFonts w:hint="eastAsia"/>
                <w:sz w:val="20"/>
                <w:szCs w:val="20"/>
                <w:highlight w:val="green"/>
                <w:lang w:val="en-US" w:eastAsia="zh-TW"/>
              </w:rPr>
              <w:t xml:space="preserve">he </w:t>
            </w:r>
            <w:r>
              <w:rPr>
                <w:sz w:val="20"/>
                <w:szCs w:val="20"/>
                <w:highlight w:val="green"/>
                <w:lang w:eastAsia="zh-CN"/>
              </w:rPr>
              <w:t>RB allocation number to be suitable for DFT-s-OFDM</w:t>
            </w:r>
            <w:r>
              <w:rPr>
                <w:rFonts w:hint="eastAsia"/>
                <w:sz w:val="20"/>
                <w:szCs w:val="20"/>
                <w:highlight w:val="green"/>
                <w:lang w:eastAsia="zh-TW"/>
              </w:rPr>
              <w:t xml:space="preserve"> at least</w:t>
            </w:r>
          </w:p>
        </w:tc>
      </w:tr>
    </w:tbl>
    <w:p>
      <w:pPr>
        <w:rPr>
          <w:rFonts w:hint="default"/>
          <w:sz w:val="20"/>
          <w:szCs w:val="20"/>
          <w:lang w:val="en-US" w:eastAsia="zh-CN"/>
        </w:rPr>
      </w:pPr>
      <w:r>
        <w:rPr>
          <w:rFonts w:hint="eastAsia"/>
          <w:sz w:val="20"/>
          <w:szCs w:val="20"/>
          <w:lang w:val="en-US" w:eastAsia="zh-CN"/>
        </w:rPr>
        <w:t>Regarding RB allocation for EIRP requirement, it was defined only for max EIRP for Ka band as follows. From our understanding, 13RBs is based on the Ka band coexistence simulation assumption. In coexistence simulation assumption, it assumes system bandwidth is 200MHz with 120kHz SCS, the number of active UE is 10 and per UE is 13RBs allocation with 120kHz SCS.</w:t>
      </w:r>
    </w:p>
    <w:p>
      <w:pPr>
        <w:jc w:val="center"/>
        <w:rPr>
          <w:rFonts w:hint="eastAsia"/>
          <w:sz w:val="20"/>
          <w:szCs w:val="20"/>
          <w:lang w:val="en-US" w:eastAsia="zh-CN"/>
        </w:rPr>
      </w:pPr>
      <w:r>
        <w:drawing>
          <wp:inline distT="0" distB="0" distL="114300" distR="114300">
            <wp:extent cx="4603115" cy="735965"/>
            <wp:effectExtent l="0" t="0" r="14605" b="10795"/>
            <wp:docPr id="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3"/>
                    <pic:cNvPicPr>
                      <a:picLocks noChangeAspect="1"/>
                    </pic:cNvPicPr>
                  </pic:nvPicPr>
                  <pic:blipFill>
                    <a:blip r:embed="rId12"/>
                    <a:stretch>
                      <a:fillRect/>
                    </a:stretch>
                  </pic:blipFill>
                  <pic:spPr>
                    <a:xfrm>
                      <a:off x="0" y="0"/>
                      <a:ext cx="4603115" cy="735965"/>
                    </a:xfrm>
                    <a:prstGeom prst="rect">
                      <a:avLst/>
                    </a:prstGeom>
                    <a:noFill/>
                    <a:ln>
                      <a:noFill/>
                    </a:ln>
                  </pic:spPr>
                </pic:pic>
              </a:graphicData>
            </a:graphic>
          </wp:inline>
        </w:drawing>
      </w:r>
    </w:p>
    <w:p>
      <w:pPr>
        <w:rPr>
          <w:rFonts w:hint="eastAsia"/>
          <w:sz w:val="20"/>
          <w:szCs w:val="20"/>
          <w:lang w:val="en-US" w:eastAsia="zh-CN"/>
        </w:rPr>
      </w:pPr>
      <w:r>
        <w:rPr>
          <w:rFonts w:hint="eastAsia"/>
          <w:sz w:val="20"/>
          <w:szCs w:val="20"/>
          <w:lang w:val="en-US" w:eastAsia="zh-CN"/>
        </w:rPr>
        <w:t>However, in Ku band coexistence simulation assumption [3], it assumes that system bandwidth is 100MHz with 30kHz SCS, 10 UEs and 27RBs per UE, which is shown in the following tables. Hence, for Ku band, we propose to define RB configuration only for max EIRP requirement and using RB allocation 27RBs with 30kHz for band n248 and n247.</w:t>
      </w:r>
    </w:p>
    <w:p>
      <w:pPr>
        <w:jc w:val="center"/>
        <w:rPr>
          <w:rFonts w:hint="default"/>
          <w:sz w:val="20"/>
          <w:szCs w:val="20"/>
          <w:lang w:val="en-US" w:eastAsia="zh-CN"/>
        </w:rPr>
      </w:pPr>
      <w:r>
        <w:drawing>
          <wp:inline distT="0" distB="0" distL="114300" distR="114300">
            <wp:extent cx="3562985" cy="755650"/>
            <wp:effectExtent l="0" t="0" r="3175"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3562985" cy="755650"/>
                    </a:xfrm>
                    <a:prstGeom prst="rect">
                      <a:avLst/>
                    </a:prstGeom>
                    <a:noFill/>
                    <a:ln>
                      <a:noFill/>
                    </a:ln>
                  </pic:spPr>
                </pic:pic>
              </a:graphicData>
            </a:graphic>
          </wp:inline>
        </w:drawing>
      </w:r>
    </w:p>
    <w:p>
      <w:pPr>
        <w:rPr>
          <w:rFonts w:hint="default"/>
          <w:sz w:val="20"/>
          <w:szCs w:val="20"/>
          <w:lang w:val="en-US" w:eastAsia="zh-CN"/>
        </w:rPr>
      </w:pPr>
      <w:r>
        <w:drawing>
          <wp:inline distT="0" distB="0" distL="114300" distR="114300">
            <wp:extent cx="6119495" cy="1525270"/>
            <wp:effectExtent l="0" t="0" r="6985" b="139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4"/>
                    <a:stretch>
                      <a:fillRect/>
                    </a:stretch>
                  </pic:blipFill>
                  <pic:spPr>
                    <a:xfrm>
                      <a:off x="0" y="0"/>
                      <a:ext cx="6119495" cy="1525270"/>
                    </a:xfrm>
                    <a:prstGeom prst="rect">
                      <a:avLst/>
                    </a:prstGeom>
                    <a:noFill/>
                    <a:ln>
                      <a:noFill/>
                    </a:ln>
                  </pic:spPr>
                </pic:pic>
              </a:graphicData>
            </a:graphic>
          </wp:inline>
        </w:drawing>
      </w:r>
    </w:p>
    <w:p>
      <w:pPr>
        <w:rPr>
          <w:rFonts w:hint="default"/>
          <w:sz w:val="20"/>
          <w:szCs w:val="20"/>
          <w:lang w:val="en-US" w:eastAsia="zh-CN"/>
        </w:rPr>
      </w:pPr>
      <w:r>
        <w:rPr>
          <w:rFonts w:hint="eastAsia"/>
          <w:sz w:val="20"/>
          <w:szCs w:val="20"/>
          <w:lang w:val="en-US" w:eastAsia="zh-CN"/>
        </w:rPr>
        <w:t>For Ku band n509 and n508, we can also assume the system bandwidth is 100MHz with 120kHz SCS and 10UEs in UL. Hence, RB configuration for band n509 and n508 can be defined as 6RBs.</w:t>
      </w:r>
    </w:p>
    <w:p>
      <w:pPr>
        <w:rPr>
          <w:rFonts w:hint="eastAsia"/>
          <w:b/>
          <w:bCs/>
          <w:sz w:val="20"/>
          <w:szCs w:val="20"/>
          <w:lang w:val="en-US" w:eastAsia="zh-CN"/>
        </w:rPr>
      </w:pPr>
      <w:r>
        <w:rPr>
          <w:rFonts w:hint="eastAsia"/>
          <w:b/>
          <w:bCs/>
          <w:sz w:val="20"/>
          <w:szCs w:val="20"/>
          <w:lang w:val="en-US" w:eastAsia="zh-CN"/>
        </w:rPr>
        <w:t>Proposal 1: It is proposed to define RB configuration only for max EIRP requirement and using RB allocation 27RBs with 30kHz for band n248 and n247, 6RBs with 120KHz for band n509 and n508.</w:t>
      </w:r>
    </w:p>
    <w:p>
      <w:pPr>
        <w:pStyle w:val="34"/>
        <w:numPr>
          <w:ilvl w:val="0"/>
          <w:numId w:val="0"/>
        </w:numPr>
        <w:spacing w:after="0"/>
        <w:ind w:left="1080" w:leftChars="0"/>
        <w:rPr>
          <w:rFonts w:hint="eastAsia"/>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eastAsia="zh-CN"/>
        </w:rPr>
      </w:pPr>
      <w:r>
        <w:rPr>
          <w:rFonts w:hint="eastAsia"/>
          <w:sz w:val="24"/>
          <w:szCs w:val="18"/>
          <w:lang w:val="en-US" w:eastAsia="zh-CN"/>
        </w:rPr>
        <w:t>2.2 OTA reference sensitivity level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Issue 1-</w:t>
            </w:r>
            <w:r>
              <w:rPr>
                <w:rFonts w:hint="eastAsia"/>
                <w:sz w:val="20"/>
                <w:szCs w:val="20"/>
                <w:lang w:val="en-US" w:eastAsia="zh-TW"/>
              </w:rPr>
              <w:t>3</w:t>
            </w:r>
            <w:r>
              <w:rPr>
                <w:sz w:val="20"/>
                <w:szCs w:val="20"/>
                <w:lang w:val="en-US"/>
              </w:rPr>
              <w:t>-</w:t>
            </w:r>
            <w:r>
              <w:rPr>
                <w:rFonts w:hint="eastAsia"/>
                <w:sz w:val="20"/>
                <w:szCs w:val="20"/>
                <w:lang w:val="en-US" w:eastAsia="zh-TW"/>
              </w:rPr>
              <w:t>1</w:t>
            </w:r>
            <w:r>
              <w:rPr>
                <w:sz w:val="20"/>
                <w:szCs w:val="20"/>
                <w:lang w:val="en-US"/>
              </w:rPr>
              <w:t>:</w:t>
            </w:r>
            <w:r>
              <w:rPr>
                <w:rFonts w:hint="eastAsia" w:eastAsia="PMingLiU"/>
                <w:sz w:val="20"/>
                <w:szCs w:val="20"/>
                <w:lang w:val="en-US" w:eastAsia="zh-TW"/>
              </w:rPr>
              <w:t xml:space="preserve"> EIS</w:t>
            </w:r>
            <w:r>
              <w:rPr>
                <w:rFonts w:hint="eastAsia"/>
                <w:sz w:val="20"/>
                <w:szCs w:val="20"/>
                <w:lang w:val="en-US" w:eastAsia="zh-TW"/>
              </w:rPr>
              <w:t xml:space="preserve"> requirement</w:t>
            </w:r>
          </w:p>
          <w:p>
            <w:pPr>
              <w:keepNext/>
              <w:overflowPunct w:val="0"/>
              <w:autoSpaceDE w:val="0"/>
              <w:autoSpaceDN w:val="0"/>
              <w:adjustRightInd w:val="0"/>
              <w:spacing w:before="120" w:after="120"/>
              <w:textAlignment w:val="baseline"/>
              <w:rPr>
                <w:rFonts w:eastAsia="PMingLiU"/>
                <w:sz w:val="20"/>
                <w:szCs w:val="20"/>
                <w:highlight w:val="green"/>
                <w:lang w:val="en-US" w:eastAsia="zh-TW"/>
              </w:rPr>
            </w:pPr>
            <w:r>
              <w:rPr>
                <w:rFonts w:hint="eastAsia" w:eastAsia="PMingLiU"/>
                <w:sz w:val="20"/>
                <w:szCs w:val="20"/>
                <w:highlight w:val="green"/>
                <w:lang w:val="en-US" w:eastAsia="zh-TW"/>
              </w:rPr>
              <w:t>Wayforward:</w:t>
            </w:r>
          </w:p>
          <w:p>
            <w:pPr>
              <w:keepNext/>
              <w:overflowPunct w:val="0"/>
              <w:autoSpaceDE w:val="0"/>
              <w:autoSpaceDN w:val="0"/>
              <w:adjustRightInd w:val="0"/>
              <w:spacing w:before="120" w:after="120"/>
              <w:ind w:firstLine="284"/>
              <w:textAlignment w:val="baseline"/>
              <w:rPr>
                <w:rFonts w:eastAsia="PMingLiU"/>
                <w:sz w:val="20"/>
                <w:szCs w:val="20"/>
                <w:lang w:val="en-US" w:eastAsia="zh-TW"/>
              </w:rPr>
            </w:pPr>
            <w:r>
              <w:rPr>
                <w:rFonts w:hint="eastAsia" w:eastAsia="PMingLiU"/>
                <w:sz w:val="20"/>
                <w:szCs w:val="20"/>
                <w:highlight w:val="green"/>
                <w:lang w:val="en-US" w:eastAsia="zh-TW"/>
              </w:rPr>
              <w:t>- Consider calculate the EIS requirement for 50MHz channel bandwidth based on the DL SNR target -1 dB (MCS for QPSK 1/3)</w:t>
            </w:r>
          </w:p>
          <w:p>
            <w:pPr>
              <w:keepNext/>
              <w:overflowPunct w:val="0"/>
              <w:autoSpaceDE w:val="0"/>
              <w:autoSpaceDN w:val="0"/>
              <w:adjustRightInd w:val="0"/>
              <w:spacing w:before="120" w:after="120"/>
              <w:ind w:firstLine="284"/>
              <w:textAlignment w:val="baseline"/>
              <w:rPr>
                <w:rFonts w:eastAsia="PMingLiU"/>
                <w:sz w:val="20"/>
                <w:szCs w:val="20"/>
                <w:highlight w:val="green"/>
                <w:lang w:val="en-US" w:eastAsia="zh-TW"/>
              </w:rPr>
            </w:pPr>
            <w:r>
              <w:rPr>
                <w:rFonts w:hint="eastAsia" w:eastAsia="PMingLiU"/>
                <w:sz w:val="20"/>
                <w:szCs w:val="20"/>
                <w:highlight w:val="green"/>
                <w:lang w:val="en-US" w:eastAsia="zh-TW"/>
              </w:rPr>
              <w:t xml:space="preserve">- At least 2dB implementation margin and will be taken into </w:t>
            </w:r>
            <w:r>
              <w:rPr>
                <w:rFonts w:eastAsia="PMingLiU"/>
                <w:sz w:val="20"/>
                <w:szCs w:val="20"/>
                <w:highlight w:val="green"/>
                <w:lang w:val="en-US" w:eastAsia="zh-TW"/>
              </w:rPr>
              <w:t>account</w:t>
            </w:r>
            <w:r>
              <w:rPr>
                <w:rFonts w:hint="eastAsia" w:eastAsia="PMingLiU"/>
                <w:sz w:val="20"/>
                <w:szCs w:val="20"/>
                <w:highlight w:val="green"/>
                <w:lang w:val="en-US" w:eastAsia="zh-TW"/>
              </w:rPr>
              <w:t>.</w:t>
            </w:r>
          </w:p>
          <w:p>
            <w:pPr>
              <w:keepNext/>
              <w:overflowPunct w:val="0"/>
              <w:autoSpaceDE w:val="0"/>
              <w:autoSpaceDN w:val="0"/>
              <w:adjustRightInd w:val="0"/>
              <w:spacing w:before="120" w:after="120"/>
              <w:ind w:firstLine="284"/>
              <w:textAlignment w:val="baseline"/>
              <w:rPr>
                <w:rFonts w:eastAsia="PMingLiU"/>
                <w:sz w:val="20"/>
                <w:szCs w:val="20"/>
                <w:lang w:val="en-US" w:eastAsia="zh-TW"/>
              </w:rPr>
            </w:pPr>
            <w:r>
              <w:rPr>
                <w:rFonts w:hint="eastAsia" w:eastAsia="PMingLiU"/>
                <w:sz w:val="20"/>
                <w:szCs w:val="20"/>
                <w:highlight w:val="green"/>
                <w:lang w:val="en-US" w:eastAsia="zh-TW"/>
              </w:rPr>
              <w:t>- At least the b</w:t>
            </w:r>
            <w:r>
              <w:rPr>
                <w:rFonts w:eastAsia="PMingLiU"/>
                <w:sz w:val="20"/>
                <w:szCs w:val="20"/>
                <w:highlight w:val="green"/>
                <w:lang w:val="en-US" w:eastAsia="zh-TW"/>
              </w:rPr>
              <w:t xml:space="preserve">eam gain reduction </w:t>
            </w:r>
            <w:r>
              <w:rPr>
                <w:rFonts w:hint="eastAsia" w:eastAsia="PMingLiU"/>
                <w:sz w:val="20"/>
                <w:szCs w:val="20"/>
                <w:highlight w:val="green"/>
                <w:lang w:val="en-US" w:eastAsia="zh-TW"/>
              </w:rPr>
              <w:t xml:space="preserve">around [3.5dB] at the 30~35 degree elevation angle can be taken into </w:t>
            </w:r>
            <w:r>
              <w:rPr>
                <w:rFonts w:eastAsia="PMingLiU"/>
                <w:sz w:val="20"/>
                <w:szCs w:val="20"/>
                <w:highlight w:val="green"/>
                <w:lang w:val="en-US" w:eastAsia="zh-TW"/>
              </w:rPr>
              <w:t>account</w:t>
            </w:r>
            <w:r>
              <w:rPr>
                <w:rFonts w:hint="eastAsia" w:eastAsia="PMingLiU"/>
                <w:sz w:val="20"/>
                <w:szCs w:val="20"/>
                <w:highlight w:val="green"/>
                <w:lang w:val="en-US" w:eastAsia="zh-TW"/>
              </w:rPr>
              <w:t>.</w:t>
            </w:r>
          </w:p>
          <w:p>
            <w:pPr>
              <w:keepNext/>
              <w:overflowPunct w:val="0"/>
              <w:autoSpaceDE w:val="0"/>
              <w:autoSpaceDN w:val="0"/>
              <w:adjustRightInd w:val="0"/>
              <w:spacing w:before="120" w:after="120"/>
              <w:ind w:firstLine="284"/>
              <w:textAlignment w:val="baseline"/>
              <w:rPr>
                <w:rFonts w:eastAsia="PMingLiU"/>
                <w:sz w:val="20"/>
                <w:szCs w:val="20"/>
                <w:lang w:val="en-US" w:eastAsia="zh-TW"/>
              </w:rPr>
            </w:pPr>
            <w:r>
              <w:rPr>
                <w:rFonts w:hint="eastAsia" w:eastAsia="PMingLiU"/>
                <w:sz w:val="20"/>
                <w:szCs w:val="20"/>
                <w:highlight w:val="green"/>
                <w:lang w:val="en-US" w:eastAsia="zh-TW"/>
              </w:rPr>
              <w:t>- Companies are encourage to provide views on the assumed VSAT G/T value for the EIS requirement in the next RAN4 meeting</w:t>
            </w:r>
          </w:p>
          <w:p>
            <w:pPr>
              <w:keepNext/>
              <w:overflowPunct w:val="0"/>
              <w:autoSpaceDE w:val="0"/>
              <w:autoSpaceDN w:val="0"/>
              <w:adjustRightInd w:val="0"/>
              <w:spacing w:before="120" w:after="120"/>
              <w:textAlignment w:val="baseline"/>
              <w:rPr>
                <w:rFonts w:eastAsia="PMingLiU"/>
                <w:sz w:val="20"/>
                <w:szCs w:val="20"/>
                <w:lang w:val="en-US" w:eastAsia="zh-TW"/>
              </w:rPr>
            </w:pPr>
          </w:p>
          <w:p>
            <w:pPr>
              <w:keepNext/>
              <w:overflowPunct w:val="0"/>
              <w:autoSpaceDE w:val="0"/>
              <w:autoSpaceDN w:val="0"/>
              <w:adjustRightInd w:val="0"/>
              <w:spacing w:before="120" w:after="120"/>
              <w:textAlignment w:val="baseline"/>
              <w:rPr>
                <w:rFonts w:eastAsia="PMingLiU"/>
                <w:sz w:val="20"/>
                <w:szCs w:val="20"/>
                <w:highlight w:val="green"/>
                <w:lang w:val="en-US" w:eastAsia="zh-TW"/>
              </w:rPr>
            </w:pPr>
            <w:r>
              <w:rPr>
                <w:rFonts w:hint="eastAsia" w:eastAsia="PMingLiU"/>
                <w:sz w:val="20"/>
                <w:szCs w:val="20"/>
                <w:highlight w:val="green"/>
                <w:lang w:val="en-US" w:eastAsia="zh-TW"/>
              </w:rPr>
              <w:t>Wayforward:</w:t>
            </w:r>
          </w:p>
          <w:p>
            <w:pPr>
              <w:keepNext/>
              <w:overflowPunct w:val="0"/>
              <w:autoSpaceDE w:val="0"/>
              <w:autoSpaceDN w:val="0"/>
              <w:adjustRightInd w:val="0"/>
              <w:spacing w:before="120" w:after="120"/>
              <w:ind w:firstLine="284"/>
              <w:textAlignment w:val="baseline"/>
              <w:rPr>
                <w:rFonts w:hint="eastAsia"/>
                <w:sz w:val="20"/>
                <w:szCs w:val="20"/>
                <w:highlight w:val="none"/>
                <w:vertAlign w:val="baseline"/>
                <w:lang w:val="en-US" w:eastAsia="zh-CN"/>
              </w:rPr>
            </w:pPr>
            <w:r>
              <w:rPr>
                <w:rFonts w:hint="eastAsia" w:eastAsia="PMingLiU"/>
                <w:sz w:val="20"/>
                <w:szCs w:val="20"/>
                <w:highlight w:val="green"/>
                <w:lang w:val="en-US" w:eastAsia="zh-TW"/>
              </w:rPr>
              <w:t xml:space="preserve">- Companies are </w:t>
            </w:r>
            <w:r>
              <w:rPr>
                <w:rFonts w:eastAsia="PMingLiU"/>
                <w:sz w:val="20"/>
                <w:szCs w:val="20"/>
                <w:highlight w:val="green"/>
                <w:lang w:val="en-US" w:eastAsia="zh-TW"/>
              </w:rPr>
              <w:t>encourage</w:t>
            </w:r>
            <w:r>
              <w:rPr>
                <w:rFonts w:hint="eastAsia" w:eastAsia="PMingLiU"/>
                <w:sz w:val="20"/>
                <w:szCs w:val="20"/>
                <w:highlight w:val="green"/>
                <w:lang w:val="en-US" w:eastAsia="zh-TW"/>
              </w:rPr>
              <w:t xml:space="preserve">d to further check whether the </w:t>
            </w:r>
            <w:r>
              <w:rPr>
                <w:rFonts w:eastAsia="PMingLiU"/>
                <w:sz w:val="20"/>
                <w:szCs w:val="20"/>
                <w:highlight w:val="green"/>
                <w:lang w:val="en-US" w:eastAsia="zh-TW"/>
              </w:rPr>
              <w:t>OCNG Pattern</w:t>
            </w:r>
            <w:r>
              <w:rPr>
                <w:rFonts w:hint="eastAsia" w:eastAsia="PMingLiU"/>
                <w:sz w:val="20"/>
                <w:szCs w:val="20"/>
                <w:highlight w:val="green"/>
                <w:lang w:val="en-US" w:eastAsia="zh-TW"/>
              </w:rPr>
              <w:t xml:space="preserve"> is needed for the </w:t>
            </w:r>
            <w:r>
              <w:rPr>
                <w:rFonts w:eastAsia="PMingLiU"/>
                <w:sz w:val="20"/>
                <w:szCs w:val="20"/>
                <w:highlight w:val="green"/>
                <w:lang w:val="en-US" w:eastAsia="zh-TW"/>
              </w:rPr>
              <w:t>NTN EIS requirement</w:t>
            </w:r>
            <w:r>
              <w:rPr>
                <w:rFonts w:hint="eastAsia" w:eastAsia="PMingLiU"/>
                <w:sz w:val="20"/>
                <w:szCs w:val="20"/>
                <w:highlight w:val="green"/>
                <w:lang w:val="en-US" w:eastAsia="zh-TW"/>
              </w:rPr>
              <w:t xml:space="preserve"> in the next RAN4 meeting.</w:t>
            </w:r>
          </w:p>
        </w:tc>
      </w:tr>
    </w:tbl>
    <w:p>
      <w:pPr>
        <w:bidi w:val="0"/>
        <w:jc w:val="both"/>
        <w:rPr>
          <w:rFonts w:hint="default"/>
          <w:b w:val="0"/>
          <w:bCs w:val="0"/>
          <w:sz w:val="20"/>
          <w:szCs w:val="18"/>
          <w:lang w:val="en-US" w:eastAsia="zh-CN"/>
        </w:rPr>
      </w:pPr>
      <w:r>
        <w:rPr>
          <w:rFonts w:hint="eastAsia"/>
          <w:b w:val="0"/>
          <w:bCs w:val="0"/>
          <w:sz w:val="20"/>
          <w:szCs w:val="18"/>
          <w:lang w:val="en-US" w:eastAsia="zh-CN"/>
        </w:rPr>
        <w:t>For EIS calculation, according to TR 38.863, there are two approaches to define EIS requirement for Ka band. One is based on DL budget calculation assuming the worst case with 30 degree elevation angle. If we use the same approach to define EIS requirement for Ku band and assume 35 degree elevation angle as the worst case, which is used in Ku band coexistence simulation, the DL budget calculation is shown below to get the DL received signal at OTA (effective isotropic received signal) for Ku band. In this approach, EIS</w:t>
      </w:r>
      <w:r>
        <w:rPr>
          <w:rFonts w:hint="eastAsia"/>
          <w:b w:val="0"/>
          <w:bCs w:val="0"/>
          <w:sz w:val="20"/>
          <w:szCs w:val="18"/>
          <w:vertAlign w:val="subscript"/>
          <w:lang w:val="en-US" w:eastAsia="zh-CN"/>
        </w:rPr>
        <w:t>50MHz</w:t>
      </w:r>
      <w:r>
        <w:rPr>
          <w:rFonts w:hint="eastAsia"/>
          <w:b w:val="0"/>
          <w:bCs w:val="0"/>
          <w:sz w:val="20"/>
          <w:szCs w:val="18"/>
          <w:lang w:val="en-US" w:eastAsia="zh-CN"/>
        </w:rPr>
        <w:t xml:space="preserve"> requirement should be less than -118dBm for GSO and -121dBm for LEO600.</w:t>
      </w:r>
    </w:p>
    <w:p>
      <w:pPr>
        <w:bidi w:val="0"/>
        <w:jc w:val="center"/>
        <w:rPr>
          <w:rFonts w:hint="default" w:ascii="Arial" w:hAnsi="Arial" w:eastAsia="宋体" w:cs="Times New Roman"/>
          <w:b/>
          <w:kern w:val="2"/>
          <w:sz w:val="21"/>
          <w:lang w:val="en-US" w:eastAsia="zh-CN" w:bidi="ar-SA"/>
        </w:rPr>
      </w:pPr>
      <w:r>
        <w:rPr>
          <w:rFonts w:hint="eastAsia" w:ascii="Arial" w:hAnsi="Arial" w:eastAsia="宋体" w:cs="Times New Roman"/>
          <w:b/>
          <w:kern w:val="2"/>
          <w:sz w:val="21"/>
          <w:lang w:val="en-US" w:eastAsia="zh-CN" w:bidi="ar-SA"/>
        </w:rPr>
        <w:t>Table</w:t>
      </w:r>
      <w:r>
        <w:rPr>
          <w:rFonts w:hint="eastAsia" w:ascii="Arial" w:hAnsi="Arial" w:cs="Times New Roman"/>
          <w:b/>
          <w:kern w:val="2"/>
          <w:sz w:val="21"/>
          <w:lang w:val="en-US" w:eastAsia="zh-CN" w:bidi="ar-SA"/>
        </w:rPr>
        <w:t xml:space="preserve"> 2.2-1: The minimum EIS calculation</w:t>
      </w:r>
    </w:p>
    <w:tbl>
      <w:tblPr>
        <w:tblStyle w:val="23"/>
        <w:tblW w:w="87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48"/>
        <w:gridCol w:w="1164"/>
        <w:gridCol w:w="1121"/>
        <w:gridCol w:w="1121"/>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rPr>
            </w:pPr>
          </w:p>
        </w:tc>
        <w:tc>
          <w:tcPr>
            <w:tcW w:w="22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G</w:t>
            </w:r>
            <w:r>
              <w:rPr>
                <w:rFonts w:hint="eastAsia" w:cs="Times New Roman"/>
                <w:b/>
                <w:bCs/>
                <w:i w:val="0"/>
                <w:iCs w:val="0"/>
                <w:color w:val="000000"/>
                <w:kern w:val="0"/>
                <w:sz w:val="20"/>
                <w:szCs w:val="20"/>
                <w:u w:val="none"/>
                <w:lang w:val="en-US" w:eastAsia="zh-CN" w:bidi="ar"/>
              </w:rPr>
              <w:t>S</w:t>
            </w:r>
            <w:r>
              <w:rPr>
                <w:rFonts w:hint="default" w:ascii="Times New Roman" w:hAnsi="Times New Roman" w:eastAsia="宋体" w:cs="Times New Roman"/>
                <w:b/>
                <w:bCs/>
                <w:i w:val="0"/>
                <w:iCs w:val="0"/>
                <w:color w:val="000000"/>
                <w:kern w:val="0"/>
                <w:sz w:val="20"/>
                <w:szCs w:val="20"/>
                <w:u w:val="none"/>
                <w:lang w:val="en-US" w:eastAsia="zh-CN" w:bidi="ar"/>
              </w:rPr>
              <w:t>O</w:t>
            </w: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204.90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204.34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 xml:space="preserve">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SAN EIRP density [dBW/MHz]</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43</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43</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7</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SAN_Tx</w:t>
            </w:r>
            <w:r>
              <w:rPr>
                <w:rFonts w:hint="eastAsia" w:cs="Times New Roman"/>
                <w:i w:val="0"/>
                <w:iCs w:val="0"/>
                <w:color w:val="000000"/>
                <w:kern w:val="0"/>
                <w:sz w:val="20"/>
                <w:szCs w:val="20"/>
                <w:u w:val="none"/>
                <w:lang w:val="en-US" w:eastAsia="zh-CN" w:bidi="ar"/>
              </w:rPr>
              <w:t xml:space="preserve"> EIRP</w:t>
            </w:r>
            <w:r>
              <w:rPr>
                <w:rFonts w:hint="default" w:ascii="Times New Roman" w:hAnsi="Times New Roman" w:eastAsia="宋体" w:cs="Times New Roman"/>
                <w:i w:val="0"/>
                <w:iCs w:val="0"/>
                <w:color w:val="000000"/>
                <w:kern w:val="0"/>
                <w:sz w:val="20"/>
                <w:szCs w:val="20"/>
                <w:u w:val="none"/>
                <w:lang w:val="en-US" w:eastAsia="zh-CN" w:bidi="ar"/>
              </w:rPr>
              <w:t xml:space="preserve"> [dBm]</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r>
              <w:rPr>
                <w:rFonts w:hint="eastAsia" w:cs="Times New Roman"/>
                <w:i w:val="0"/>
                <w:iCs w:val="0"/>
                <w:color w:val="000000"/>
                <w:kern w:val="0"/>
                <w:sz w:val="20"/>
                <w:szCs w:val="20"/>
                <w:u w:val="none"/>
                <w:lang w:val="en-US" w:eastAsia="zh-CN" w:bidi="ar"/>
              </w:rPr>
              <w:t>6.5</w:t>
            </w:r>
            <w:r>
              <w:rPr>
                <w:rFonts w:hint="default" w:ascii="Times New Roman" w:hAnsi="Times New Roman" w:eastAsia="宋体" w:cs="Times New Roman"/>
                <w:i w:val="0"/>
                <w:iCs w:val="0"/>
                <w:color w:val="000000"/>
                <w:kern w:val="0"/>
                <w:sz w:val="20"/>
                <w:szCs w:val="20"/>
                <w:u w:val="none"/>
                <w:lang w:val="en-US" w:eastAsia="zh-CN" w:bidi="ar"/>
              </w:rPr>
              <w:t xml:space="preserve">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90</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50.5</w:t>
            </w:r>
            <w:r>
              <w:rPr>
                <w:rFonts w:hint="default" w:ascii="Times New Roman" w:hAnsi="Times New Roman" w:eastAsia="宋体" w:cs="Times New Roman"/>
                <w:i w:val="0"/>
                <w:iCs w:val="0"/>
                <w:color w:val="000000"/>
                <w:kern w:val="0"/>
                <w:sz w:val="20"/>
                <w:szCs w:val="20"/>
                <w:u w:val="none"/>
                <w:lang w:val="en-US" w:eastAsia="zh-CN" w:bidi="ar"/>
              </w:rPr>
              <w:t xml:space="preserve">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54</w:t>
            </w:r>
            <w:r>
              <w:rPr>
                <w:rFonts w:hint="default"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4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VSAT DL Received signal level at OTA</w:t>
            </w:r>
            <w:r>
              <w:rPr>
                <w:rFonts w:hint="eastAsia" w:cs="Times New Roman"/>
                <w:b/>
                <w:bCs/>
                <w:i w:val="0"/>
                <w:iCs w:val="0"/>
                <w:color w:val="000000"/>
                <w:kern w:val="0"/>
                <w:sz w:val="20"/>
                <w:szCs w:val="20"/>
                <w:u w:val="none"/>
                <w:lang w:val="en-US" w:eastAsia="zh-CN" w:bidi="ar"/>
              </w:rPr>
              <w:t xml:space="preserve"> [dBm]</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-11</w:t>
            </w:r>
            <w:r>
              <w:rPr>
                <w:rFonts w:hint="eastAsia" w:cs="Times New Roman"/>
                <w:b/>
                <w:bCs/>
                <w:i w:val="0"/>
                <w:iCs w:val="0"/>
                <w:color w:val="000000"/>
                <w:kern w:val="0"/>
                <w:sz w:val="20"/>
                <w:szCs w:val="20"/>
                <w:u w:val="none"/>
                <w:lang w:val="en-US" w:eastAsia="zh-CN" w:bidi="ar"/>
              </w:rPr>
              <w:t>8.40</w:t>
            </w:r>
            <w:r>
              <w:rPr>
                <w:rFonts w:hint="eastAsia" w:ascii="Times New Roman" w:hAnsi="Times New Roman" w:eastAsia="宋体" w:cs="Times New Roman"/>
                <w:b/>
                <w:bCs/>
                <w:i w:val="0"/>
                <w:iCs w:val="0"/>
                <w:color w:val="000000"/>
                <w:kern w:val="0"/>
                <w:sz w:val="20"/>
                <w:szCs w:val="20"/>
                <w:u w:val="none"/>
                <w:lang w:val="en-US" w:eastAsia="zh-CN" w:bidi="ar"/>
              </w:rPr>
              <w:t xml:space="preserve">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 xml:space="preserve">-114.34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-12</w:t>
            </w:r>
            <w:r>
              <w:rPr>
                <w:rFonts w:hint="eastAsia" w:cs="Times New Roman"/>
                <w:b/>
                <w:bCs/>
                <w:i w:val="0"/>
                <w:iCs w:val="0"/>
                <w:color w:val="000000"/>
                <w:kern w:val="0"/>
                <w:sz w:val="20"/>
                <w:szCs w:val="20"/>
                <w:u w:val="none"/>
                <w:lang w:val="en-US" w:eastAsia="zh-CN" w:bidi="ar"/>
              </w:rPr>
              <w:t>2</w:t>
            </w:r>
            <w:r>
              <w:rPr>
                <w:rFonts w:hint="eastAsia" w:ascii="Times New Roman" w:hAnsi="Times New Roman" w:eastAsia="宋体" w:cs="Times New Roman"/>
                <w:b/>
                <w:bCs/>
                <w:i w:val="0"/>
                <w:iCs w:val="0"/>
                <w:color w:val="000000"/>
                <w:kern w:val="0"/>
                <w:sz w:val="20"/>
                <w:szCs w:val="20"/>
                <w:u w:val="none"/>
                <w:lang w:val="en-US" w:eastAsia="zh-CN" w:bidi="ar"/>
              </w:rPr>
              <w:t>.</w:t>
            </w:r>
            <w:r>
              <w:rPr>
                <w:rFonts w:hint="eastAsia" w:cs="Times New Roman"/>
                <w:b/>
                <w:bCs/>
                <w:i w:val="0"/>
                <w:iCs w:val="0"/>
                <w:color w:val="000000"/>
                <w:kern w:val="0"/>
                <w:sz w:val="20"/>
                <w:szCs w:val="20"/>
                <w:u w:val="none"/>
                <w:lang w:val="en-US" w:eastAsia="zh-CN" w:bidi="ar"/>
              </w:rPr>
              <w:t>4</w:t>
            </w:r>
            <w:r>
              <w:rPr>
                <w:rFonts w:hint="eastAsia" w:ascii="Times New Roman" w:hAnsi="Times New Roman" w:eastAsia="宋体" w:cs="Times New Roman"/>
                <w:b/>
                <w:bCs/>
                <w:i w:val="0"/>
                <w:iCs w:val="0"/>
                <w:color w:val="000000"/>
                <w:kern w:val="0"/>
                <w:sz w:val="20"/>
                <w:szCs w:val="20"/>
                <w:u w:val="none"/>
                <w:lang w:val="en-US" w:eastAsia="zh-CN" w:bidi="ar"/>
              </w:rPr>
              <w:t xml:space="preserve">8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 xml:space="preserve">-114.83 </w:t>
            </w:r>
          </w:p>
        </w:tc>
      </w:tr>
    </w:tbl>
    <w:p>
      <w:pPr>
        <w:bidi w:val="0"/>
        <w:jc w:val="both"/>
        <w:rPr>
          <w:rFonts w:hint="eastAsia"/>
          <w:b w:val="0"/>
          <w:bCs w:val="0"/>
          <w:sz w:val="20"/>
          <w:szCs w:val="20"/>
          <w:lang w:val="en-US" w:eastAsia="zh-CN"/>
        </w:rPr>
      </w:pPr>
      <w:r>
        <w:rPr>
          <w:rFonts w:hint="eastAsia"/>
          <w:b w:val="0"/>
          <w:bCs w:val="0"/>
          <w:sz w:val="20"/>
          <w:szCs w:val="20"/>
          <w:lang w:val="en-US" w:eastAsia="zh-CN"/>
        </w:rPr>
        <w:t>Another approach is assuming G/T value, and using the following equation to calculate the EIS requirement.</w:t>
      </w:r>
    </w:p>
    <w:p>
      <w:pPr>
        <w:jc w:val="center"/>
        <w:rPr>
          <w:sz w:val="20"/>
          <w:szCs w:val="20"/>
          <w:lang w:val="de-DE"/>
        </w:rPr>
      </w:pPr>
      <w:r>
        <w:rPr>
          <w:sz w:val="20"/>
          <w:szCs w:val="20"/>
          <w:lang w:val="de-DE"/>
        </w:rPr>
        <w:t>EIS=10*log10(k)+30+10*log10(BW)+SNR+IM-G/T</w:t>
      </w:r>
    </w:p>
    <w:p>
      <w:pPr>
        <w:rPr>
          <w:sz w:val="20"/>
          <w:szCs w:val="20"/>
        </w:rPr>
      </w:pPr>
      <w:r>
        <w:rPr>
          <w:sz w:val="20"/>
          <w:szCs w:val="20"/>
        </w:rPr>
        <w:t>BW is channel bandwidth. (candidate value: 50MHz)</w:t>
      </w:r>
    </w:p>
    <w:p>
      <w:pPr>
        <w:rPr>
          <w:sz w:val="20"/>
          <w:szCs w:val="20"/>
        </w:rPr>
      </w:pPr>
      <w:r>
        <w:rPr>
          <w:sz w:val="20"/>
          <w:szCs w:val="20"/>
        </w:rPr>
        <w:t>IM is implementation margin. 2dB can be assumed.</w:t>
      </w:r>
    </w:p>
    <w:p>
      <w:pPr>
        <w:rPr>
          <w:sz w:val="20"/>
          <w:szCs w:val="20"/>
        </w:rPr>
      </w:pPr>
      <w:r>
        <w:rPr>
          <w:sz w:val="20"/>
          <w:szCs w:val="20"/>
        </w:rPr>
        <w:t>SNR is the required SNR for demodulation. -1dB can be assumed.</w:t>
      </w:r>
    </w:p>
    <w:p>
      <w:pPr>
        <w:rPr>
          <w:sz w:val="20"/>
          <w:szCs w:val="20"/>
        </w:rPr>
      </w:pPr>
      <w:r>
        <w:rPr>
          <w:sz w:val="20"/>
          <w:szCs w:val="20"/>
        </w:rPr>
        <w:t>K: is Boltzmann constant, 1.38*10-23 J/K</w:t>
      </w:r>
    </w:p>
    <w:p>
      <w:pPr>
        <w:bidi w:val="0"/>
        <w:jc w:val="both"/>
        <w:rPr>
          <w:rFonts w:hint="default"/>
          <w:b w:val="0"/>
          <w:bCs w:val="0"/>
          <w:sz w:val="20"/>
          <w:szCs w:val="20"/>
          <w:lang w:val="en-US" w:eastAsia="zh-CN"/>
        </w:rPr>
      </w:pPr>
      <w:r>
        <w:rPr>
          <w:rFonts w:hint="eastAsia"/>
          <w:b w:val="0"/>
          <w:bCs w:val="0"/>
          <w:sz w:val="20"/>
          <w:szCs w:val="20"/>
          <w:lang w:val="en-US" w:eastAsia="zh-CN"/>
        </w:rPr>
        <w:t>For G/T value, we consult some VSAT datasheets, e.g. HL1100W Hughes LEO Terminal and Intellian OW50M-Rac/OW70M-Rac served by LEO only, RESA M Ku served by GEO and LEO, which is shown in the following figures. It can be observed that G/T is larger than 9dB for LEO and 11dB for GEO.</w:t>
      </w:r>
    </w:p>
    <w:p>
      <w:pPr>
        <w:bidi w:val="0"/>
        <w:jc w:val="center"/>
        <w:rPr>
          <w:b/>
          <w:bCs/>
        </w:rPr>
      </w:pPr>
      <w:r>
        <w:rPr>
          <w:b/>
          <w:bCs/>
        </w:rPr>
        <w:drawing>
          <wp:inline distT="0" distB="0" distL="114300" distR="114300">
            <wp:extent cx="2580005" cy="832485"/>
            <wp:effectExtent l="0" t="0" r="10795"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a:stretch>
                      <a:fillRect/>
                    </a:stretch>
                  </pic:blipFill>
                  <pic:spPr>
                    <a:xfrm>
                      <a:off x="0" y="0"/>
                      <a:ext cx="2580005" cy="832485"/>
                    </a:xfrm>
                    <a:prstGeom prst="rect">
                      <a:avLst/>
                    </a:prstGeom>
                    <a:noFill/>
                    <a:ln>
                      <a:noFill/>
                    </a:ln>
                  </pic:spPr>
                </pic:pic>
              </a:graphicData>
            </a:graphic>
          </wp:inline>
        </w:drawing>
      </w:r>
    </w:p>
    <w:p>
      <w:pPr>
        <w:bidi w:val="0"/>
        <w:jc w:val="center"/>
        <w:rPr>
          <w:rFonts w:hint="eastAsia"/>
          <w:b/>
          <w:bCs/>
          <w:sz w:val="20"/>
          <w:szCs w:val="20"/>
          <w:lang w:val="en-US" w:eastAsia="zh-CN"/>
        </w:rPr>
      </w:pPr>
      <w:r>
        <w:rPr>
          <w:rFonts w:hint="eastAsia"/>
          <w:b/>
          <w:bCs/>
          <w:lang w:val="en-US" w:eastAsia="zh-CN"/>
        </w:rPr>
        <w:t xml:space="preserve">Figure 2.2-1: datasheet for </w:t>
      </w:r>
      <w:r>
        <w:rPr>
          <w:rFonts w:hint="eastAsia"/>
          <w:b/>
          <w:bCs/>
          <w:sz w:val="20"/>
          <w:szCs w:val="20"/>
          <w:lang w:val="en-US" w:eastAsia="zh-CN"/>
        </w:rPr>
        <w:t>HL1100W Hughes LEO Terminal</w:t>
      </w:r>
    </w:p>
    <w:p>
      <w:pPr>
        <w:bidi w:val="0"/>
        <w:jc w:val="center"/>
        <w:rPr>
          <w:b/>
          <w:bCs/>
        </w:rPr>
      </w:pPr>
      <w:r>
        <w:rPr>
          <w:b/>
          <w:bCs/>
        </w:rPr>
        <w:drawing>
          <wp:inline distT="0" distB="0" distL="114300" distR="114300">
            <wp:extent cx="4817110" cy="1943100"/>
            <wp:effectExtent l="0" t="0" r="1397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6"/>
                    <a:stretch>
                      <a:fillRect/>
                    </a:stretch>
                  </pic:blipFill>
                  <pic:spPr>
                    <a:xfrm>
                      <a:off x="0" y="0"/>
                      <a:ext cx="4817110" cy="1943100"/>
                    </a:xfrm>
                    <a:prstGeom prst="rect">
                      <a:avLst/>
                    </a:prstGeom>
                    <a:noFill/>
                    <a:ln>
                      <a:noFill/>
                    </a:ln>
                  </pic:spPr>
                </pic:pic>
              </a:graphicData>
            </a:graphic>
          </wp:inline>
        </w:drawing>
      </w:r>
    </w:p>
    <w:p>
      <w:pPr>
        <w:bidi w:val="0"/>
        <w:jc w:val="center"/>
        <w:rPr>
          <w:rFonts w:hint="eastAsia"/>
          <w:b/>
          <w:bCs/>
          <w:sz w:val="20"/>
          <w:szCs w:val="20"/>
          <w:lang w:val="en-US" w:eastAsia="zh-CN"/>
        </w:rPr>
      </w:pPr>
      <w:r>
        <w:rPr>
          <w:rFonts w:hint="eastAsia"/>
          <w:b/>
          <w:bCs/>
          <w:lang w:val="en-US" w:eastAsia="zh-CN"/>
        </w:rPr>
        <w:t xml:space="preserve">Figure 2.2-2: datasheet for </w:t>
      </w:r>
      <w:r>
        <w:rPr>
          <w:rFonts w:hint="eastAsia"/>
          <w:b/>
          <w:bCs/>
          <w:sz w:val="20"/>
          <w:szCs w:val="20"/>
          <w:lang w:val="en-US" w:eastAsia="zh-CN"/>
        </w:rPr>
        <w:t>Intellian OW50M-Rac/OW70M-Rac</w:t>
      </w:r>
    </w:p>
    <w:p>
      <w:pPr>
        <w:bidi w:val="0"/>
        <w:jc w:val="center"/>
        <w:rPr>
          <w:rFonts w:hint="eastAsia"/>
          <w:b/>
          <w:bCs/>
          <w:sz w:val="20"/>
          <w:szCs w:val="20"/>
          <w:lang w:val="en-US" w:eastAsia="zh-CN"/>
        </w:rPr>
      </w:pPr>
      <w:r>
        <w:rPr>
          <w:b/>
          <w:bCs/>
        </w:rPr>
        <w:drawing>
          <wp:inline distT="0" distB="0" distL="114300" distR="114300">
            <wp:extent cx="4391660" cy="917575"/>
            <wp:effectExtent l="0" t="0" r="12700" b="1206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7"/>
                    <a:stretch>
                      <a:fillRect/>
                    </a:stretch>
                  </pic:blipFill>
                  <pic:spPr>
                    <a:xfrm>
                      <a:off x="0" y="0"/>
                      <a:ext cx="4391660" cy="917575"/>
                    </a:xfrm>
                    <a:prstGeom prst="rect">
                      <a:avLst/>
                    </a:prstGeom>
                    <a:noFill/>
                    <a:ln>
                      <a:noFill/>
                    </a:ln>
                  </pic:spPr>
                </pic:pic>
              </a:graphicData>
            </a:graphic>
          </wp:inline>
        </w:drawing>
      </w:r>
    </w:p>
    <w:p>
      <w:pPr>
        <w:bidi w:val="0"/>
        <w:jc w:val="center"/>
        <w:rPr>
          <w:rFonts w:hint="eastAsia"/>
          <w:b/>
          <w:bCs/>
          <w:sz w:val="20"/>
          <w:szCs w:val="20"/>
          <w:lang w:val="en-US" w:eastAsia="zh-CN"/>
        </w:rPr>
      </w:pPr>
      <w:r>
        <w:rPr>
          <w:rFonts w:hint="eastAsia"/>
          <w:b/>
          <w:bCs/>
          <w:lang w:val="en-US" w:eastAsia="zh-CN"/>
        </w:rPr>
        <w:t xml:space="preserve">Figure 2.2-3: datasheet for </w:t>
      </w:r>
      <w:r>
        <w:rPr>
          <w:rFonts w:hint="eastAsia"/>
          <w:b/>
          <w:bCs/>
          <w:sz w:val="20"/>
          <w:szCs w:val="20"/>
          <w:lang w:val="en-US" w:eastAsia="zh-CN"/>
        </w:rPr>
        <w:t>RESA M Ku</w:t>
      </w:r>
    </w:p>
    <w:p>
      <w:pPr>
        <w:bidi w:val="0"/>
        <w:jc w:val="both"/>
        <w:rPr>
          <w:rFonts w:hint="default"/>
          <w:b w:val="0"/>
          <w:bCs w:val="0"/>
          <w:sz w:val="20"/>
          <w:szCs w:val="20"/>
          <w:lang w:val="en-US" w:eastAsia="zh-CN"/>
        </w:rPr>
      </w:pPr>
      <w:r>
        <w:rPr>
          <w:rFonts w:hint="eastAsia"/>
          <w:b w:val="0"/>
          <w:bCs w:val="0"/>
          <w:sz w:val="20"/>
          <w:szCs w:val="20"/>
          <w:lang w:val="en-US" w:eastAsia="zh-CN"/>
        </w:rPr>
        <w:t xml:space="preserve">To calculate the EIS requirement, we can assume G/T is 9dB for LEO600 and 11dB for GSO. Considering 3.5dB beam gain reduction at the 30~35 degree elevation angle, </w:t>
      </w:r>
      <w:r>
        <w:rPr>
          <w:sz w:val="20"/>
          <w:szCs w:val="20"/>
        </w:rPr>
        <w:t>EIS</w:t>
      </w:r>
      <w:r>
        <w:rPr>
          <w:sz w:val="20"/>
          <w:szCs w:val="20"/>
          <w:vertAlign w:val="subscript"/>
        </w:rPr>
        <w:t>REFSENS_50MHz</w:t>
      </w:r>
      <w:r>
        <w:rPr>
          <w:rFonts w:hint="eastAsia"/>
          <w:b w:val="0"/>
          <w:bCs w:val="0"/>
          <w:sz w:val="20"/>
          <w:szCs w:val="20"/>
          <w:vertAlign w:val="baseline"/>
          <w:lang w:val="en-US" w:eastAsia="zh-CN"/>
        </w:rPr>
        <w:t xml:space="preserve"> </w:t>
      </w:r>
      <w:r>
        <w:rPr>
          <w:rFonts w:hint="eastAsia"/>
          <w:b w:val="0"/>
          <w:bCs w:val="0"/>
          <w:sz w:val="20"/>
          <w:szCs w:val="20"/>
          <w:lang w:val="en-US" w:eastAsia="zh-CN"/>
        </w:rPr>
        <w:t>is -126dBm for LEO600 and -128dBm for GSO.</w:t>
      </w:r>
    </w:p>
    <w:p>
      <w:pPr>
        <w:bidi w:val="0"/>
        <w:jc w:val="both"/>
        <w:rPr>
          <w:rFonts w:hint="default"/>
          <w:b w:val="0"/>
          <w:bCs w:val="0"/>
          <w:sz w:val="20"/>
          <w:szCs w:val="20"/>
          <w:lang w:val="en-US" w:eastAsia="zh-CN"/>
        </w:rPr>
      </w:pPr>
      <w:r>
        <w:rPr>
          <w:rFonts w:hint="eastAsia"/>
          <w:b w:val="0"/>
          <w:bCs w:val="0"/>
          <w:sz w:val="20"/>
          <w:szCs w:val="20"/>
          <w:lang w:val="en-US" w:eastAsia="zh-CN"/>
        </w:rPr>
        <w:t xml:space="preserve">Based on the above analysis, the first approach is mainly dependent on SAN Tx EIRP. But, in actual, SAN transmit power is declared by the manufacturer. We prefer the second way to define EIS requirement based on VSAT G/T value. Hence, </w:t>
      </w:r>
      <w:r>
        <w:rPr>
          <w:sz w:val="20"/>
          <w:szCs w:val="20"/>
        </w:rPr>
        <w:t>EIS</w:t>
      </w:r>
      <w:r>
        <w:rPr>
          <w:sz w:val="20"/>
          <w:szCs w:val="20"/>
          <w:vertAlign w:val="subscript"/>
        </w:rPr>
        <w:t>REFSENS_50MHz</w:t>
      </w:r>
      <w:r>
        <w:rPr>
          <w:rFonts w:hint="eastAsia"/>
          <w:b w:val="0"/>
          <w:bCs w:val="0"/>
          <w:sz w:val="20"/>
          <w:szCs w:val="20"/>
          <w:lang w:val="en-US" w:eastAsia="zh-CN"/>
        </w:rPr>
        <w:t xml:space="preserve"> should be less than as -126dBm for mobile VSAT served by LEO only and -128 dBm for mobile VSAT served by GSO and LEO, and for the other channel bandwidth the corresponding EIS requirement could be scaled with PRB based compared with 50MHz for band n248 n247, n509 and n508.</w:t>
      </w:r>
    </w:p>
    <w:p>
      <w:pPr>
        <w:bidi w:val="0"/>
        <w:jc w:val="both"/>
        <w:rPr>
          <w:rFonts w:hint="eastAsia"/>
          <w:b/>
          <w:bCs/>
          <w:sz w:val="20"/>
          <w:szCs w:val="20"/>
          <w:lang w:val="en-US" w:eastAsia="zh-CN"/>
        </w:rPr>
      </w:pPr>
      <w:r>
        <w:rPr>
          <w:rFonts w:hint="eastAsia"/>
          <w:b/>
          <w:bCs/>
          <w:sz w:val="20"/>
          <w:szCs w:val="20"/>
          <w:lang w:val="en-US" w:eastAsia="zh-CN"/>
        </w:rPr>
        <w:t xml:space="preserve">Proposal 2: </w:t>
      </w:r>
      <w:r>
        <w:rPr>
          <w:b/>
          <w:bCs/>
          <w:sz w:val="20"/>
          <w:szCs w:val="20"/>
        </w:rPr>
        <w:t>EIS</w:t>
      </w:r>
      <w:r>
        <w:rPr>
          <w:b/>
          <w:bCs/>
          <w:sz w:val="20"/>
          <w:szCs w:val="20"/>
          <w:vertAlign w:val="subscript"/>
        </w:rPr>
        <w:t>REFSENS_50MHz</w:t>
      </w:r>
      <w:r>
        <w:rPr>
          <w:rFonts w:hint="eastAsia"/>
          <w:b/>
          <w:bCs/>
          <w:sz w:val="20"/>
          <w:szCs w:val="20"/>
          <w:lang w:val="en-US" w:eastAsia="zh-CN"/>
        </w:rPr>
        <w:t xml:space="preserve"> should be less than as -126dBm for mobile VSAT served by LEO only and -128 dBm for mobile VSAT served by GSO and LEO, and for the other channel bandwidth the corresponding EIS requirement could be scaled with PRB based compared with 50MHz for band n248 n247, n509 and n508.</w:t>
      </w:r>
    </w:p>
    <w:p>
      <w:pPr>
        <w:bidi w:val="0"/>
        <w:jc w:val="both"/>
        <w:rPr>
          <w:rFonts w:hint="default"/>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eastAsia="zh-CN"/>
        </w:rPr>
      </w:pPr>
      <w:r>
        <w:rPr>
          <w:rFonts w:hint="eastAsia"/>
          <w:sz w:val="24"/>
          <w:szCs w:val="18"/>
          <w:lang w:val="en-US" w:eastAsia="zh-CN"/>
        </w:rPr>
        <w:t>2.3 Maximum input level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Issue 1-</w:t>
            </w:r>
            <w:r>
              <w:rPr>
                <w:rFonts w:hint="eastAsia"/>
                <w:sz w:val="20"/>
                <w:szCs w:val="20"/>
                <w:lang w:val="en-US" w:eastAsia="zh-TW"/>
              </w:rPr>
              <w:t>3</w:t>
            </w:r>
            <w:r>
              <w:rPr>
                <w:sz w:val="20"/>
                <w:szCs w:val="20"/>
                <w:lang w:val="en-US"/>
              </w:rPr>
              <w:t>-</w:t>
            </w:r>
            <w:r>
              <w:rPr>
                <w:rFonts w:hint="eastAsia" w:eastAsia="PMingLiU"/>
                <w:sz w:val="20"/>
                <w:szCs w:val="20"/>
                <w:lang w:val="en-US" w:eastAsia="zh-TW"/>
              </w:rPr>
              <w:t>2</w:t>
            </w:r>
            <w:r>
              <w:rPr>
                <w:sz w:val="20"/>
                <w:szCs w:val="20"/>
                <w:lang w:val="en-US"/>
              </w:rPr>
              <w:t>:</w:t>
            </w:r>
            <w:r>
              <w:rPr>
                <w:rFonts w:hint="eastAsia" w:eastAsia="PMingLiU"/>
                <w:sz w:val="20"/>
                <w:szCs w:val="20"/>
                <w:lang w:val="en-US" w:eastAsia="zh-TW"/>
              </w:rPr>
              <w:t xml:space="preserve"> M</w:t>
            </w:r>
            <w:r>
              <w:rPr>
                <w:rFonts w:eastAsia="PMingLiU"/>
                <w:sz w:val="20"/>
                <w:szCs w:val="20"/>
                <w:lang w:val="en-US" w:eastAsia="zh-TW"/>
              </w:rPr>
              <w:t>aximum input level</w:t>
            </w:r>
            <w:r>
              <w:rPr>
                <w:rFonts w:hint="eastAsia"/>
                <w:sz w:val="20"/>
                <w:szCs w:val="20"/>
                <w:lang w:val="en-US" w:eastAsia="zh-TW"/>
              </w:rPr>
              <w:t xml:space="preserve"> requirement</w:t>
            </w:r>
          </w:p>
          <w:p>
            <w:pPr>
              <w:keepNext/>
              <w:overflowPunct w:val="0"/>
              <w:autoSpaceDE w:val="0"/>
              <w:autoSpaceDN w:val="0"/>
              <w:adjustRightInd w:val="0"/>
              <w:spacing w:before="120" w:after="120"/>
              <w:textAlignment w:val="baseline"/>
              <w:rPr>
                <w:rFonts w:eastAsia="PMingLiU"/>
                <w:sz w:val="20"/>
                <w:szCs w:val="20"/>
                <w:highlight w:val="green"/>
                <w:lang w:val="en-US" w:eastAsia="zh-TW"/>
              </w:rPr>
            </w:pPr>
            <w:r>
              <w:rPr>
                <w:rFonts w:hint="eastAsia" w:eastAsia="PMingLiU"/>
                <w:sz w:val="20"/>
                <w:szCs w:val="20"/>
                <w:highlight w:val="green"/>
                <w:lang w:val="en-US" w:eastAsia="zh-TW"/>
              </w:rPr>
              <w:t>Agreement:</w:t>
            </w:r>
          </w:p>
          <w:p>
            <w:pPr>
              <w:keepNext/>
              <w:overflowPunct w:val="0"/>
              <w:autoSpaceDE w:val="0"/>
              <w:autoSpaceDN w:val="0"/>
              <w:adjustRightInd w:val="0"/>
              <w:spacing w:before="120" w:after="120"/>
              <w:ind w:firstLine="284"/>
              <w:textAlignment w:val="baseline"/>
              <w:rPr>
                <w:rFonts w:hint="default"/>
                <w:sz w:val="20"/>
                <w:szCs w:val="20"/>
                <w:vertAlign w:val="baseline"/>
                <w:lang w:val="en-US" w:eastAsia="zh-CN"/>
              </w:rPr>
            </w:pPr>
            <w:r>
              <w:rPr>
                <w:rFonts w:hint="eastAsia" w:eastAsia="PMingLiU"/>
                <w:sz w:val="20"/>
                <w:szCs w:val="20"/>
                <w:highlight w:val="green"/>
                <w:lang w:val="en-US" w:eastAsia="zh-TW"/>
              </w:rPr>
              <w:t>- RAN4 will define the maximum input level requirement for the NTN Ku band VSAT.</w:t>
            </w:r>
          </w:p>
        </w:tc>
      </w:tr>
    </w:tbl>
    <w:p>
      <w:pPr>
        <w:bidi w:val="0"/>
        <w:jc w:val="both"/>
        <w:rPr>
          <w:rFonts w:hint="default"/>
          <w:b w:val="0"/>
          <w:bCs w:val="0"/>
          <w:sz w:val="20"/>
          <w:szCs w:val="18"/>
          <w:lang w:val="en-US" w:eastAsia="zh-CN"/>
        </w:rPr>
      </w:pPr>
      <w:r>
        <w:rPr>
          <w:rFonts w:hint="eastAsia"/>
          <w:b w:val="0"/>
          <w:bCs w:val="0"/>
          <w:sz w:val="20"/>
          <w:szCs w:val="18"/>
          <w:lang w:val="en-US" w:eastAsia="zh-CN"/>
        </w:rPr>
        <w:t xml:space="preserve">For the maximum input level, we also can use same way as Ka band to derive the requirement, which is calculated based on the link budget. The calculation for the maximum input level is shown in the following table. The parameters used in the table is based on the coexistence simulation assumptions. </w:t>
      </w:r>
    </w:p>
    <w:p>
      <w:pPr>
        <w:bidi w:val="0"/>
        <w:jc w:val="center"/>
        <w:rPr>
          <w:rFonts w:hint="default"/>
          <w:b w:val="0"/>
          <w:bCs w:val="0"/>
          <w:sz w:val="20"/>
          <w:szCs w:val="18"/>
          <w:lang w:val="en-US" w:eastAsia="zh-CN"/>
        </w:rPr>
      </w:pPr>
      <w:r>
        <w:rPr>
          <w:rFonts w:hint="eastAsia" w:ascii="Arial" w:hAnsi="Arial" w:eastAsia="宋体" w:cs="Times New Roman"/>
          <w:b/>
          <w:kern w:val="2"/>
          <w:sz w:val="21"/>
          <w:lang w:val="en-US" w:eastAsia="zh-CN" w:bidi="ar-SA"/>
        </w:rPr>
        <w:t>Table</w:t>
      </w:r>
      <w:r>
        <w:rPr>
          <w:rFonts w:hint="eastAsia" w:ascii="Arial" w:hAnsi="Arial" w:cs="Times New Roman"/>
          <w:b/>
          <w:kern w:val="2"/>
          <w:sz w:val="21"/>
          <w:lang w:val="en-US" w:eastAsia="zh-CN" w:bidi="ar-SA"/>
        </w:rPr>
        <w:t xml:space="preserve"> 2.3-1: The maximum input level calculation</w:t>
      </w:r>
    </w:p>
    <w:tbl>
      <w:tblPr>
        <w:tblStyle w:val="23"/>
        <w:tblW w:w="79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19"/>
        <w:gridCol w:w="1121"/>
        <w:gridCol w:w="1121"/>
        <w:gridCol w:w="1242"/>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beforeLines="0" w:afterLines="0" w:line="240" w:lineRule="auto"/>
              <w:rPr>
                <w:rFonts w:hint="default" w:ascii="Times New Roman" w:hAnsi="Times New Roman" w:eastAsia="宋体" w:cs="Times New Roman"/>
                <w:i w:val="0"/>
                <w:iCs w:val="0"/>
                <w:color w:val="000000"/>
                <w:sz w:val="20"/>
                <w:szCs w:val="20"/>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GSO</w:t>
            </w:r>
          </w:p>
        </w:tc>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204.90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204.34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 xml:space="preserve">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SAN EIRP density [dBW/MHz]</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43</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43</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7</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SAN_TxPower [dBm]</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w:t>
            </w: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90</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51</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54</w:t>
            </w:r>
            <w:r>
              <w:rPr>
                <w:rFonts w:hint="default"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33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MaxInputPower</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-119.92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-116.35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-123.99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-116.84 </w:t>
            </w:r>
          </w:p>
        </w:tc>
      </w:tr>
    </w:tbl>
    <w:p>
      <w:pPr>
        <w:rPr>
          <w:rFonts w:hint="eastAsia"/>
          <w:b/>
          <w:bCs/>
          <w:sz w:val="20"/>
          <w:szCs w:val="20"/>
          <w:lang w:val="en-US" w:eastAsia="zh-CN"/>
        </w:rPr>
      </w:pPr>
      <w:r>
        <w:rPr>
          <w:rFonts w:hint="eastAsia"/>
          <w:b/>
          <w:bCs/>
          <w:sz w:val="20"/>
          <w:szCs w:val="20"/>
          <w:lang w:val="en-US" w:eastAsia="zh-CN"/>
        </w:rPr>
        <w:t>Proposal 3: To consider the maximum input level -116 dBm for all channel bandwidths for Ku bands.</w:t>
      </w:r>
    </w:p>
    <w:p>
      <w:pPr>
        <w:rPr>
          <w:rFonts w:hint="default"/>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sz w:val="20"/>
          <w:szCs w:val="20"/>
          <w:lang w:val="en-US" w:eastAsia="zh-CN"/>
        </w:rPr>
      </w:pPr>
      <w:r>
        <w:rPr>
          <w:rFonts w:hint="eastAsia"/>
          <w:b/>
          <w:bCs/>
          <w:sz w:val="20"/>
          <w:szCs w:val="20"/>
          <w:lang w:val="en-US" w:eastAsia="zh-CN"/>
        </w:rPr>
        <w:t>Proposal 1: It is proposed to define RB configuration only for max EIRP requirement and using RB allocation 27RBs with 30kHz for band n248 and n247, 6RBs with 120KHz for band n509 and n508.</w:t>
      </w:r>
    </w:p>
    <w:p>
      <w:pPr>
        <w:bidi w:val="0"/>
        <w:jc w:val="both"/>
        <w:rPr>
          <w:rFonts w:hint="eastAsia"/>
          <w:b/>
          <w:bCs/>
          <w:sz w:val="20"/>
          <w:szCs w:val="20"/>
          <w:lang w:val="en-US" w:eastAsia="zh-CN"/>
        </w:rPr>
      </w:pPr>
      <w:r>
        <w:rPr>
          <w:rFonts w:hint="eastAsia"/>
          <w:b/>
          <w:bCs/>
          <w:sz w:val="20"/>
          <w:szCs w:val="20"/>
          <w:lang w:val="en-US" w:eastAsia="zh-CN"/>
        </w:rPr>
        <w:t xml:space="preserve">Proposal 2: </w:t>
      </w:r>
      <w:r>
        <w:rPr>
          <w:b/>
          <w:bCs/>
          <w:sz w:val="20"/>
          <w:szCs w:val="20"/>
        </w:rPr>
        <w:t>EIS</w:t>
      </w:r>
      <w:r>
        <w:rPr>
          <w:b/>
          <w:bCs/>
          <w:sz w:val="20"/>
          <w:szCs w:val="20"/>
          <w:vertAlign w:val="subscript"/>
        </w:rPr>
        <w:t>REFSENS_50MHz</w:t>
      </w:r>
      <w:r>
        <w:rPr>
          <w:rFonts w:hint="eastAsia"/>
          <w:b/>
          <w:bCs/>
          <w:sz w:val="20"/>
          <w:szCs w:val="20"/>
          <w:lang w:val="en-US" w:eastAsia="zh-CN"/>
        </w:rPr>
        <w:t xml:space="preserve"> should be less than as -126dBm for mobile VSAT served by LEO only and -128 dBm for mobile VSAT served by GSO and LEO, and for the other channel bandwidth the corresponding EIS requirement could be scaled with PRB based compared with 50MHz for band n248 n247, n509 and n508.</w:t>
      </w:r>
    </w:p>
    <w:p>
      <w:pPr>
        <w:rPr>
          <w:rFonts w:hint="eastAsia"/>
          <w:b/>
          <w:bCs/>
          <w:sz w:val="20"/>
          <w:szCs w:val="20"/>
          <w:lang w:val="en-US" w:eastAsia="zh-CN"/>
        </w:rPr>
      </w:pPr>
      <w:r>
        <w:rPr>
          <w:rFonts w:hint="eastAsia"/>
          <w:b/>
          <w:bCs/>
          <w:sz w:val="20"/>
          <w:szCs w:val="20"/>
          <w:lang w:val="en-US" w:eastAsia="zh-CN"/>
        </w:rPr>
        <w:t>Proposal 3: To consider the maximum input level -116 dBm for all channel bandwidths for Ku bands.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RP-250799, Revised WID: Introduction of Ku bands for NR NTN, Intelsat et al.</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R4-2508778</w:t>
      </w:r>
      <w:r>
        <w:rPr>
          <w:rFonts w:hint="eastAsia"/>
          <w:color w:val="auto"/>
          <w:lang w:val="en-US" w:eastAsia="zh-CN"/>
        </w:rPr>
        <w:t>, Way Forward for [115][314] NR_NTN_Ku_Band_UE_SAN_RF, Moderator (CHTTL)</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R4-2508774</w:t>
      </w:r>
      <w:r>
        <w:rPr>
          <w:rFonts w:hint="eastAsia" w:cs="Times New Roman"/>
          <w:b w:val="0"/>
          <w:bCs w:val="0"/>
          <w:color w:val="auto"/>
          <w:sz w:val="20"/>
          <w:szCs w:val="20"/>
          <w:highlight w:val="none"/>
          <w:lang w:val="en-US" w:eastAsia="zh-CN"/>
        </w:rPr>
        <w:t>, Ku band coexistence simulation assumptions running document, Ericsson</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0"/>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EE28B6"/>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5177"/>
    <w:rsid w:val="01101B26"/>
    <w:rsid w:val="011A0B49"/>
    <w:rsid w:val="013E51BE"/>
    <w:rsid w:val="014A0623"/>
    <w:rsid w:val="01536583"/>
    <w:rsid w:val="0156475D"/>
    <w:rsid w:val="015D3EF3"/>
    <w:rsid w:val="016112D3"/>
    <w:rsid w:val="0165788D"/>
    <w:rsid w:val="01757513"/>
    <w:rsid w:val="01764F01"/>
    <w:rsid w:val="018107C9"/>
    <w:rsid w:val="0183684B"/>
    <w:rsid w:val="01854FE9"/>
    <w:rsid w:val="018A47AD"/>
    <w:rsid w:val="018E207B"/>
    <w:rsid w:val="0190283E"/>
    <w:rsid w:val="019C544F"/>
    <w:rsid w:val="019D155B"/>
    <w:rsid w:val="01A428BB"/>
    <w:rsid w:val="01AE307F"/>
    <w:rsid w:val="01B3282A"/>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6148C"/>
    <w:rsid w:val="021B7C87"/>
    <w:rsid w:val="021F6093"/>
    <w:rsid w:val="022D4A6E"/>
    <w:rsid w:val="023512AC"/>
    <w:rsid w:val="023B0A39"/>
    <w:rsid w:val="023C78A7"/>
    <w:rsid w:val="023F3FD3"/>
    <w:rsid w:val="02444B7E"/>
    <w:rsid w:val="024A5964"/>
    <w:rsid w:val="024B023C"/>
    <w:rsid w:val="024D6B6A"/>
    <w:rsid w:val="024E43D4"/>
    <w:rsid w:val="02510B5E"/>
    <w:rsid w:val="02566C17"/>
    <w:rsid w:val="025829A1"/>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0D55"/>
    <w:rsid w:val="02976D78"/>
    <w:rsid w:val="02983E12"/>
    <w:rsid w:val="029A69A7"/>
    <w:rsid w:val="029B04E7"/>
    <w:rsid w:val="02A10998"/>
    <w:rsid w:val="02A73886"/>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225C3"/>
    <w:rsid w:val="03147E4E"/>
    <w:rsid w:val="03187492"/>
    <w:rsid w:val="031A08DB"/>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B066B"/>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16CF5"/>
    <w:rsid w:val="04CF6607"/>
    <w:rsid w:val="04D46535"/>
    <w:rsid w:val="04DA1A87"/>
    <w:rsid w:val="04DC0F32"/>
    <w:rsid w:val="04DE2DA3"/>
    <w:rsid w:val="04DF3C0B"/>
    <w:rsid w:val="04EB6DF8"/>
    <w:rsid w:val="04FA3A76"/>
    <w:rsid w:val="04FF1C94"/>
    <w:rsid w:val="04FF33CD"/>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B3F2F"/>
    <w:rsid w:val="059D265F"/>
    <w:rsid w:val="059E1515"/>
    <w:rsid w:val="05AD1B88"/>
    <w:rsid w:val="05B92EC1"/>
    <w:rsid w:val="05D05BD2"/>
    <w:rsid w:val="05DB542B"/>
    <w:rsid w:val="05E078B3"/>
    <w:rsid w:val="05E942A3"/>
    <w:rsid w:val="05EA759F"/>
    <w:rsid w:val="05EE6827"/>
    <w:rsid w:val="0601277E"/>
    <w:rsid w:val="060A2EF6"/>
    <w:rsid w:val="060C5AED"/>
    <w:rsid w:val="06103146"/>
    <w:rsid w:val="06172561"/>
    <w:rsid w:val="061E54DA"/>
    <w:rsid w:val="061E5E22"/>
    <w:rsid w:val="06223FD1"/>
    <w:rsid w:val="062B2FCF"/>
    <w:rsid w:val="063E31D0"/>
    <w:rsid w:val="063F63E4"/>
    <w:rsid w:val="06460B91"/>
    <w:rsid w:val="064E3838"/>
    <w:rsid w:val="0654187C"/>
    <w:rsid w:val="065475DE"/>
    <w:rsid w:val="06556C03"/>
    <w:rsid w:val="06676354"/>
    <w:rsid w:val="066E5330"/>
    <w:rsid w:val="06782F84"/>
    <w:rsid w:val="067C28D6"/>
    <w:rsid w:val="068A55C2"/>
    <w:rsid w:val="068E06BC"/>
    <w:rsid w:val="069201CB"/>
    <w:rsid w:val="06956E2E"/>
    <w:rsid w:val="06A73E04"/>
    <w:rsid w:val="06AC7765"/>
    <w:rsid w:val="06B62C91"/>
    <w:rsid w:val="06B741D9"/>
    <w:rsid w:val="06B756E7"/>
    <w:rsid w:val="06C457B6"/>
    <w:rsid w:val="06CA5532"/>
    <w:rsid w:val="06CD4A70"/>
    <w:rsid w:val="06DC48B6"/>
    <w:rsid w:val="06DF4C13"/>
    <w:rsid w:val="06E7678C"/>
    <w:rsid w:val="06EC7519"/>
    <w:rsid w:val="06F42A88"/>
    <w:rsid w:val="06F801C0"/>
    <w:rsid w:val="06FF7387"/>
    <w:rsid w:val="070644A9"/>
    <w:rsid w:val="070E5E48"/>
    <w:rsid w:val="07105178"/>
    <w:rsid w:val="0712124C"/>
    <w:rsid w:val="071C13A8"/>
    <w:rsid w:val="073D143C"/>
    <w:rsid w:val="074454BD"/>
    <w:rsid w:val="074855FD"/>
    <w:rsid w:val="075B2E87"/>
    <w:rsid w:val="07627CA0"/>
    <w:rsid w:val="076319C4"/>
    <w:rsid w:val="076925D2"/>
    <w:rsid w:val="077241E3"/>
    <w:rsid w:val="07734FD3"/>
    <w:rsid w:val="0776227D"/>
    <w:rsid w:val="0781725F"/>
    <w:rsid w:val="078C5933"/>
    <w:rsid w:val="078D336C"/>
    <w:rsid w:val="079066A3"/>
    <w:rsid w:val="07971B3F"/>
    <w:rsid w:val="07983294"/>
    <w:rsid w:val="079B3BB0"/>
    <w:rsid w:val="079F1838"/>
    <w:rsid w:val="07A2030D"/>
    <w:rsid w:val="07A5677E"/>
    <w:rsid w:val="07B51934"/>
    <w:rsid w:val="07B9290D"/>
    <w:rsid w:val="07BE52B9"/>
    <w:rsid w:val="07C55A1A"/>
    <w:rsid w:val="07CB1347"/>
    <w:rsid w:val="07D57946"/>
    <w:rsid w:val="07DF1126"/>
    <w:rsid w:val="07ED524D"/>
    <w:rsid w:val="07F065BC"/>
    <w:rsid w:val="080124E3"/>
    <w:rsid w:val="08030E27"/>
    <w:rsid w:val="080C7FA0"/>
    <w:rsid w:val="080F0F47"/>
    <w:rsid w:val="08193C24"/>
    <w:rsid w:val="082A7098"/>
    <w:rsid w:val="08334B3D"/>
    <w:rsid w:val="08341060"/>
    <w:rsid w:val="083929A1"/>
    <w:rsid w:val="08732D34"/>
    <w:rsid w:val="08787FF0"/>
    <w:rsid w:val="087C4B7B"/>
    <w:rsid w:val="08824DF0"/>
    <w:rsid w:val="0889002B"/>
    <w:rsid w:val="08991502"/>
    <w:rsid w:val="089B79D9"/>
    <w:rsid w:val="08A44DA6"/>
    <w:rsid w:val="08AA245A"/>
    <w:rsid w:val="08AD2ACC"/>
    <w:rsid w:val="08AF46A5"/>
    <w:rsid w:val="08B57D04"/>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43BE1"/>
    <w:rsid w:val="098143BC"/>
    <w:rsid w:val="098500F1"/>
    <w:rsid w:val="0992510E"/>
    <w:rsid w:val="09935399"/>
    <w:rsid w:val="09B33AE4"/>
    <w:rsid w:val="09BD407A"/>
    <w:rsid w:val="09BF125C"/>
    <w:rsid w:val="09C12CF5"/>
    <w:rsid w:val="09D62E7D"/>
    <w:rsid w:val="09D948FE"/>
    <w:rsid w:val="09DA0E26"/>
    <w:rsid w:val="09DB6437"/>
    <w:rsid w:val="09E55691"/>
    <w:rsid w:val="09F67CD5"/>
    <w:rsid w:val="0A054821"/>
    <w:rsid w:val="0A077A43"/>
    <w:rsid w:val="0A0835C8"/>
    <w:rsid w:val="0A145721"/>
    <w:rsid w:val="0A2317E4"/>
    <w:rsid w:val="0A335AB8"/>
    <w:rsid w:val="0A355EAA"/>
    <w:rsid w:val="0A3708FF"/>
    <w:rsid w:val="0A3B01F9"/>
    <w:rsid w:val="0A3F0488"/>
    <w:rsid w:val="0A402A36"/>
    <w:rsid w:val="0A4236A3"/>
    <w:rsid w:val="0A4E7EF5"/>
    <w:rsid w:val="0A522AF4"/>
    <w:rsid w:val="0A596130"/>
    <w:rsid w:val="0A627392"/>
    <w:rsid w:val="0A646846"/>
    <w:rsid w:val="0A6B3DAF"/>
    <w:rsid w:val="0A7B4D83"/>
    <w:rsid w:val="0A7C1440"/>
    <w:rsid w:val="0A817CBD"/>
    <w:rsid w:val="0A8251CA"/>
    <w:rsid w:val="0A8828AB"/>
    <w:rsid w:val="0A927DC1"/>
    <w:rsid w:val="0A951165"/>
    <w:rsid w:val="0A9B4F7F"/>
    <w:rsid w:val="0A9C263A"/>
    <w:rsid w:val="0A9D54CD"/>
    <w:rsid w:val="0A9E3D3D"/>
    <w:rsid w:val="0AA077E0"/>
    <w:rsid w:val="0AA5327C"/>
    <w:rsid w:val="0ABF16D7"/>
    <w:rsid w:val="0AC01F88"/>
    <w:rsid w:val="0AC0212C"/>
    <w:rsid w:val="0AC17420"/>
    <w:rsid w:val="0AC3085F"/>
    <w:rsid w:val="0AD542C1"/>
    <w:rsid w:val="0ADD5A20"/>
    <w:rsid w:val="0AE10FD9"/>
    <w:rsid w:val="0AF13898"/>
    <w:rsid w:val="0AFA298B"/>
    <w:rsid w:val="0AFB3228"/>
    <w:rsid w:val="0AFC6C07"/>
    <w:rsid w:val="0AFD25E6"/>
    <w:rsid w:val="0AFF6A66"/>
    <w:rsid w:val="0B0130D7"/>
    <w:rsid w:val="0B0250FD"/>
    <w:rsid w:val="0B0331F5"/>
    <w:rsid w:val="0B0F025C"/>
    <w:rsid w:val="0B1A6333"/>
    <w:rsid w:val="0B267BFC"/>
    <w:rsid w:val="0B2713F4"/>
    <w:rsid w:val="0B2D2F43"/>
    <w:rsid w:val="0B334367"/>
    <w:rsid w:val="0B3B1BC1"/>
    <w:rsid w:val="0B3B5196"/>
    <w:rsid w:val="0B3D701F"/>
    <w:rsid w:val="0B3E7DD7"/>
    <w:rsid w:val="0B491629"/>
    <w:rsid w:val="0B4B40F9"/>
    <w:rsid w:val="0B4E0D5C"/>
    <w:rsid w:val="0B547CEE"/>
    <w:rsid w:val="0B554398"/>
    <w:rsid w:val="0B561995"/>
    <w:rsid w:val="0B5C2C2A"/>
    <w:rsid w:val="0B6148D2"/>
    <w:rsid w:val="0B665E0A"/>
    <w:rsid w:val="0B680DC4"/>
    <w:rsid w:val="0B6F6271"/>
    <w:rsid w:val="0B7C0E60"/>
    <w:rsid w:val="0B847B39"/>
    <w:rsid w:val="0B987E20"/>
    <w:rsid w:val="0B9E71DF"/>
    <w:rsid w:val="0BA65BCD"/>
    <w:rsid w:val="0BAD5CC5"/>
    <w:rsid w:val="0BAD5EDC"/>
    <w:rsid w:val="0BAF59B9"/>
    <w:rsid w:val="0BB524B8"/>
    <w:rsid w:val="0BB756DF"/>
    <w:rsid w:val="0BC63DB2"/>
    <w:rsid w:val="0BCC4043"/>
    <w:rsid w:val="0BCC4B6A"/>
    <w:rsid w:val="0BD66314"/>
    <w:rsid w:val="0BDE7AE5"/>
    <w:rsid w:val="0BE2291A"/>
    <w:rsid w:val="0C07043D"/>
    <w:rsid w:val="0C0B2EA8"/>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74EE1"/>
    <w:rsid w:val="0C89028B"/>
    <w:rsid w:val="0C8B63A3"/>
    <w:rsid w:val="0CA52A71"/>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BB2DE4"/>
    <w:rsid w:val="0DCC3AE8"/>
    <w:rsid w:val="0DD87842"/>
    <w:rsid w:val="0DDB2C34"/>
    <w:rsid w:val="0DDE2885"/>
    <w:rsid w:val="0DEF012A"/>
    <w:rsid w:val="0DF202E1"/>
    <w:rsid w:val="0DF53CE3"/>
    <w:rsid w:val="0DFC6867"/>
    <w:rsid w:val="0E0961C5"/>
    <w:rsid w:val="0E0C6AA6"/>
    <w:rsid w:val="0E147898"/>
    <w:rsid w:val="0E160A2D"/>
    <w:rsid w:val="0E264DDB"/>
    <w:rsid w:val="0E2F216B"/>
    <w:rsid w:val="0E327317"/>
    <w:rsid w:val="0E3352C6"/>
    <w:rsid w:val="0E360EDA"/>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D7627B"/>
    <w:rsid w:val="0EEC6F1D"/>
    <w:rsid w:val="0F0621F6"/>
    <w:rsid w:val="0F084F33"/>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CF4195"/>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6D650E"/>
    <w:rsid w:val="107407B6"/>
    <w:rsid w:val="10786F12"/>
    <w:rsid w:val="107C3E2C"/>
    <w:rsid w:val="107D41AE"/>
    <w:rsid w:val="1089095C"/>
    <w:rsid w:val="108C2479"/>
    <w:rsid w:val="10AC12D0"/>
    <w:rsid w:val="10B3132B"/>
    <w:rsid w:val="10B367A8"/>
    <w:rsid w:val="10C715C5"/>
    <w:rsid w:val="10D335EF"/>
    <w:rsid w:val="10E255A6"/>
    <w:rsid w:val="10E36DA6"/>
    <w:rsid w:val="10E746EA"/>
    <w:rsid w:val="10E83FE0"/>
    <w:rsid w:val="10EC3168"/>
    <w:rsid w:val="10F02A44"/>
    <w:rsid w:val="10F52718"/>
    <w:rsid w:val="10F70AE6"/>
    <w:rsid w:val="10F80ADC"/>
    <w:rsid w:val="111071DE"/>
    <w:rsid w:val="11123EF8"/>
    <w:rsid w:val="11124F2E"/>
    <w:rsid w:val="11125358"/>
    <w:rsid w:val="111B69FE"/>
    <w:rsid w:val="111F38A5"/>
    <w:rsid w:val="111F6CBE"/>
    <w:rsid w:val="112D2A42"/>
    <w:rsid w:val="112D7B86"/>
    <w:rsid w:val="113A22DB"/>
    <w:rsid w:val="114028DC"/>
    <w:rsid w:val="11441C15"/>
    <w:rsid w:val="11583891"/>
    <w:rsid w:val="1159252B"/>
    <w:rsid w:val="1160765D"/>
    <w:rsid w:val="116C6652"/>
    <w:rsid w:val="116F1EB0"/>
    <w:rsid w:val="11727495"/>
    <w:rsid w:val="117A242E"/>
    <w:rsid w:val="117B1D6A"/>
    <w:rsid w:val="117C2D9D"/>
    <w:rsid w:val="117F159E"/>
    <w:rsid w:val="11821DC9"/>
    <w:rsid w:val="11824A0F"/>
    <w:rsid w:val="11897A08"/>
    <w:rsid w:val="11921373"/>
    <w:rsid w:val="119A72EE"/>
    <w:rsid w:val="119D7849"/>
    <w:rsid w:val="11A61272"/>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A65F4"/>
    <w:rsid w:val="120F1E38"/>
    <w:rsid w:val="1210682D"/>
    <w:rsid w:val="122215D3"/>
    <w:rsid w:val="122510AD"/>
    <w:rsid w:val="122F0F93"/>
    <w:rsid w:val="123A05DB"/>
    <w:rsid w:val="124240B9"/>
    <w:rsid w:val="124702AB"/>
    <w:rsid w:val="12491684"/>
    <w:rsid w:val="124D0988"/>
    <w:rsid w:val="124E44B4"/>
    <w:rsid w:val="125067C3"/>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B0B16"/>
    <w:rsid w:val="12EE5106"/>
    <w:rsid w:val="12F777F2"/>
    <w:rsid w:val="1307341C"/>
    <w:rsid w:val="130C40FE"/>
    <w:rsid w:val="130E3629"/>
    <w:rsid w:val="13125197"/>
    <w:rsid w:val="131B39DD"/>
    <w:rsid w:val="13283BA4"/>
    <w:rsid w:val="132974BB"/>
    <w:rsid w:val="13332F77"/>
    <w:rsid w:val="13334E1C"/>
    <w:rsid w:val="13346EE4"/>
    <w:rsid w:val="13354BA1"/>
    <w:rsid w:val="13384952"/>
    <w:rsid w:val="134B49D4"/>
    <w:rsid w:val="1355107F"/>
    <w:rsid w:val="135D4D2E"/>
    <w:rsid w:val="1366638D"/>
    <w:rsid w:val="1369011A"/>
    <w:rsid w:val="136D76E8"/>
    <w:rsid w:val="137266E0"/>
    <w:rsid w:val="13811975"/>
    <w:rsid w:val="138559AC"/>
    <w:rsid w:val="138F3C22"/>
    <w:rsid w:val="139D3156"/>
    <w:rsid w:val="13A50F41"/>
    <w:rsid w:val="13A825CD"/>
    <w:rsid w:val="13AA5FA1"/>
    <w:rsid w:val="13C20262"/>
    <w:rsid w:val="13CD4CBC"/>
    <w:rsid w:val="13D024B3"/>
    <w:rsid w:val="13D115EF"/>
    <w:rsid w:val="13D86A45"/>
    <w:rsid w:val="13DD445E"/>
    <w:rsid w:val="13DE7C83"/>
    <w:rsid w:val="13E044B9"/>
    <w:rsid w:val="13E20C66"/>
    <w:rsid w:val="13FD073F"/>
    <w:rsid w:val="14001419"/>
    <w:rsid w:val="140171D9"/>
    <w:rsid w:val="1405674E"/>
    <w:rsid w:val="140662E7"/>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B4C11"/>
    <w:rsid w:val="14816B50"/>
    <w:rsid w:val="148313F4"/>
    <w:rsid w:val="1485665F"/>
    <w:rsid w:val="14934F1A"/>
    <w:rsid w:val="149411C1"/>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355FA8"/>
    <w:rsid w:val="154806E1"/>
    <w:rsid w:val="154D342A"/>
    <w:rsid w:val="15581ED5"/>
    <w:rsid w:val="1559587F"/>
    <w:rsid w:val="155E7DEC"/>
    <w:rsid w:val="15740334"/>
    <w:rsid w:val="1574662E"/>
    <w:rsid w:val="15751882"/>
    <w:rsid w:val="1575191B"/>
    <w:rsid w:val="157818C6"/>
    <w:rsid w:val="159F73BB"/>
    <w:rsid w:val="15A502D0"/>
    <w:rsid w:val="15AD52A1"/>
    <w:rsid w:val="15B03F28"/>
    <w:rsid w:val="15C15E25"/>
    <w:rsid w:val="15C42571"/>
    <w:rsid w:val="15CA3B1A"/>
    <w:rsid w:val="15E30A80"/>
    <w:rsid w:val="15E87214"/>
    <w:rsid w:val="15F1008F"/>
    <w:rsid w:val="15F21B9E"/>
    <w:rsid w:val="15FD2FA2"/>
    <w:rsid w:val="16021A7C"/>
    <w:rsid w:val="1608480E"/>
    <w:rsid w:val="16167DD3"/>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7F70BF"/>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7500B"/>
    <w:rsid w:val="16C86CDB"/>
    <w:rsid w:val="16CC2B4C"/>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72148A"/>
    <w:rsid w:val="17850F99"/>
    <w:rsid w:val="17852592"/>
    <w:rsid w:val="17875303"/>
    <w:rsid w:val="178815C4"/>
    <w:rsid w:val="17891C0B"/>
    <w:rsid w:val="178D6E7A"/>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2DB7"/>
    <w:rsid w:val="17F33DC6"/>
    <w:rsid w:val="17F45149"/>
    <w:rsid w:val="17FD061B"/>
    <w:rsid w:val="17FD20FD"/>
    <w:rsid w:val="17FF6314"/>
    <w:rsid w:val="18005F41"/>
    <w:rsid w:val="18025414"/>
    <w:rsid w:val="18171305"/>
    <w:rsid w:val="1820454C"/>
    <w:rsid w:val="1829280B"/>
    <w:rsid w:val="18327337"/>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8F365D"/>
    <w:rsid w:val="189252B6"/>
    <w:rsid w:val="18956393"/>
    <w:rsid w:val="189C5943"/>
    <w:rsid w:val="18A8582C"/>
    <w:rsid w:val="18B135C0"/>
    <w:rsid w:val="18B50543"/>
    <w:rsid w:val="18CA40C3"/>
    <w:rsid w:val="18CD7A02"/>
    <w:rsid w:val="18D82C17"/>
    <w:rsid w:val="18D904AC"/>
    <w:rsid w:val="18DC1AEF"/>
    <w:rsid w:val="18DF5689"/>
    <w:rsid w:val="18EA3EC7"/>
    <w:rsid w:val="18F74015"/>
    <w:rsid w:val="19001FFC"/>
    <w:rsid w:val="19002350"/>
    <w:rsid w:val="19083894"/>
    <w:rsid w:val="190E2B4A"/>
    <w:rsid w:val="19254172"/>
    <w:rsid w:val="19255966"/>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C2AA0"/>
    <w:rsid w:val="19CE5CE6"/>
    <w:rsid w:val="19E24986"/>
    <w:rsid w:val="19E256B5"/>
    <w:rsid w:val="19E54655"/>
    <w:rsid w:val="19F061A1"/>
    <w:rsid w:val="19F409F4"/>
    <w:rsid w:val="19F81E45"/>
    <w:rsid w:val="1A021BEA"/>
    <w:rsid w:val="1A054259"/>
    <w:rsid w:val="1A081816"/>
    <w:rsid w:val="1A0C5680"/>
    <w:rsid w:val="1A165171"/>
    <w:rsid w:val="1A3068A4"/>
    <w:rsid w:val="1A410451"/>
    <w:rsid w:val="1A4858FF"/>
    <w:rsid w:val="1A4C2DB9"/>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212C0"/>
    <w:rsid w:val="1B874E63"/>
    <w:rsid w:val="1B9C269A"/>
    <w:rsid w:val="1B9E64C5"/>
    <w:rsid w:val="1B9E6D4C"/>
    <w:rsid w:val="1BB07CEA"/>
    <w:rsid w:val="1BBD43BA"/>
    <w:rsid w:val="1BC01115"/>
    <w:rsid w:val="1BC44015"/>
    <w:rsid w:val="1BC96DA5"/>
    <w:rsid w:val="1BCA6284"/>
    <w:rsid w:val="1BCC6C47"/>
    <w:rsid w:val="1BE3099A"/>
    <w:rsid w:val="1BE32C74"/>
    <w:rsid w:val="1BF72906"/>
    <w:rsid w:val="1BFB481C"/>
    <w:rsid w:val="1BFE5FF9"/>
    <w:rsid w:val="1BFE7B2D"/>
    <w:rsid w:val="1C013494"/>
    <w:rsid w:val="1C053414"/>
    <w:rsid w:val="1C132CB9"/>
    <w:rsid w:val="1C1642A1"/>
    <w:rsid w:val="1C2146C5"/>
    <w:rsid w:val="1C240174"/>
    <w:rsid w:val="1C273D33"/>
    <w:rsid w:val="1C2B0BE0"/>
    <w:rsid w:val="1C4032AB"/>
    <w:rsid w:val="1C4672ED"/>
    <w:rsid w:val="1C467AB6"/>
    <w:rsid w:val="1C5800BC"/>
    <w:rsid w:val="1C591347"/>
    <w:rsid w:val="1C6277A9"/>
    <w:rsid w:val="1C6F6673"/>
    <w:rsid w:val="1C7100AE"/>
    <w:rsid w:val="1C750818"/>
    <w:rsid w:val="1C7F54CE"/>
    <w:rsid w:val="1C7F743F"/>
    <w:rsid w:val="1C8C4AA9"/>
    <w:rsid w:val="1C8C604B"/>
    <w:rsid w:val="1C8F53D9"/>
    <w:rsid w:val="1C92160B"/>
    <w:rsid w:val="1C973EEF"/>
    <w:rsid w:val="1C9B77F5"/>
    <w:rsid w:val="1C9E22B6"/>
    <w:rsid w:val="1CA03243"/>
    <w:rsid w:val="1CAC112E"/>
    <w:rsid w:val="1CAF5DB2"/>
    <w:rsid w:val="1CB40DF1"/>
    <w:rsid w:val="1CB86812"/>
    <w:rsid w:val="1CB93C74"/>
    <w:rsid w:val="1CC11084"/>
    <w:rsid w:val="1CC71DD3"/>
    <w:rsid w:val="1CCC26CA"/>
    <w:rsid w:val="1CCD0C7D"/>
    <w:rsid w:val="1CD2156B"/>
    <w:rsid w:val="1CD41743"/>
    <w:rsid w:val="1CD44D3D"/>
    <w:rsid w:val="1CD77F43"/>
    <w:rsid w:val="1CDA4887"/>
    <w:rsid w:val="1CE45EF5"/>
    <w:rsid w:val="1CE615C9"/>
    <w:rsid w:val="1CED1E7E"/>
    <w:rsid w:val="1D037029"/>
    <w:rsid w:val="1D0A6B98"/>
    <w:rsid w:val="1D227612"/>
    <w:rsid w:val="1D3305FF"/>
    <w:rsid w:val="1D395282"/>
    <w:rsid w:val="1D40749C"/>
    <w:rsid w:val="1D4251BA"/>
    <w:rsid w:val="1D4E4F63"/>
    <w:rsid w:val="1D5A65E9"/>
    <w:rsid w:val="1D5B2FF2"/>
    <w:rsid w:val="1D5F5386"/>
    <w:rsid w:val="1D70348C"/>
    <w:rsid w:val="1D7072CE"/>
    <w:rsid w:val="1D794A16"/>
    <w:rsid w:val="1D80759A"/>
    <w:rsid w:val="1D8A021B"/>
    <w:rsid w:val="1D935671"/>
    <w:rsid w:val="1D9E30A9"/>
    <w:rsid w:val="1DAB1006"/>
    <w:rsid w:val="1DAB2A0A"/>
    <w:rsid w:val="1DB33C11"/>
    <w:rsid w:val="1DC65562"/>
    <w:rsid w:val="1DD34749"/>
    <w:rsid w:val="1DD34B91"/>
    <w:rsid w:val="1DDD201B"/>
    <w:rsid w:val="1DE94164"/>
    <w:rsid w:val="1DEE1B11"/>
    <w:rsid w:val="1DEF316F"/>
    <w:rsid w:val="1E085D06"/>
    <w:rsid w:val="1E105A20"/>
    <w:rsid w:val="1E164B52"/>
    <w:rsid w:val="1E207CA6"/>
    <w:rsid w:val="1E26583C"/>
    <w:rsid w:val="1E273844"/>
    <w:rsid w:val="1E2945B6"/>
    <w:rsid w:val="1E2F243E"/>
    <w:rsid w:val="1E3B4F6B"/>
    <w:rsid w:val="1E3D2556"/>
    <w:rsid w:val="1E455D19"/>
    <w:rsid w:val="1E595CAF"/>
    <w:rsid w:val="1E5C31E8"/>
    <w:rsid w:val="1E610C87"/>
    <w:rsid w:val="1E6607F9"/>
    <w:rsid w:val="1E691070"/>
    <w:rsid w:val="1E736AB1"/>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850AF9"/>
    <w:rsid w:val="1F935819"/>
    <w:rsid w:val="1FA036A3"/>
    <w:rsid w:val="1FA628A2"/>
    <w:rsid w:val="1FA6556D"/>
    <w:rsid w:val="1FA73A37"/>
    <w:rsid w:val="1FAF2571"/>
    <w:rsid w:val="1FB33036"/>
    <w:rsid w:val="1FC55EDA"/>
    <w:rsid w:val="1FC658C9"/>
    <w:rsid w:val="1FCE593C"/>
    <w:rsid w:val="1FE312AC"/>
    <w:rsid w:val="1FEC5915"/>
    <w:rsid w:val="1FED32EF"/>
    <w:rsid w:val="1FF82884"/>
    <w:rsid w:val="200079F9"/>
    <w:rsid w:val="201E6D7C"/>
    <w:rsid w:val="20446081"/>
    <w:rsid w:val="204774FC"/>
    <w:rsid w:val="204852AD"/>
    <w:rsid w:val="204A5E48"/>
    <w:rsid w:val="204A6449"/>
    <w:rsid w:val="204E6676"/>
    <w:rsid w:val="20523B02"/>
    <w:rsid w:val="20580C17"/>
    <w:rsid w:val="20595924"/>
    <w:rsid w:val="205A5AA0"/>
    <w:rsid w:val="206408C4"/>
    <w:rsid w:val="20773A28"/>
    <w:rsid w:val="208574F4"/>
    <w:rsid w:val="20872047"/>
    <w:rsid w:val="2089606E"/>
    <w:rsid w:val="208C4449"/>
    <w:rsid w:val="208F6BAF"/>
    <w:rsid w:val="209414DB"/>
    <w:rsid w:val="20A462BA"/>
    <w:rsid w:val="20BF2AAC"/>
    <w:rsid w:val="20C849C7"/>
    <w:rsid w:val="20DF66D2"/>
    <w:rsid w:val="20EC3F2E"/>
    <w:rsid w:val="20EC7C3E"/>
    <w:rsid w:val="20F07537"/>
    <w:rsid w:val="20FA77BC"/>
    <w:rsid w:val="210548E9"/>
    <w:rsid w:val="210C336C"/>
    <w:rsid w:val="210D14B3"/>
    <w:rsid w:val="21124D15"/>
    <w:rsid w:val="21164A79"/>
    <w:rsid w:val="211C7DEA"/>
    <w:rsid w:val="21332BF6"/>
    <w:rsid w:val="213B13E1"/>
    <w:rsid w:val="213E7119"/>
    <w:rsid w:val="21401C29"/>
    <w:rsid w:val="21530058"/>
    <w:rsid w:val="21567D84"/>
    <w:rsid w:val="216608E3"/>
    <w:rsid w:val="21675117"/>
    <w:rsid w:val="21810744"/>
    <w:rsid w:val="218577F3"/>
    <w:rsid w:val="218D6EF5"/>
    <w:rsid w:val="2195668B"/>
    <w:rsid w:val="219F69EC"/>
    <w:rsid w:val="21A130EA"/>
    <w:rsid w:val="21A17779"/>
    <w:rsid w:val="21B405F8"/>
    <w:rsid w:val="21B5366A"/>
    <w:rsid w:val="21C267BF"/>
    <w:rsid w:val="21C65A87"/>
    <w:rsid w:val="21C67C42"/>
    <w:rsid w:val="21CB6217"/>
    <w:rsid w:val="21CD6BCD"/>
    <w:rsid w:val="21CE6067"/>
    <w:rsid w:val="21CF439A"/>
    <w:rsid w:val="21D824E4"/>
    <w:rsid w:val="21E35D49"/>
    <w:rsid w:val="21F00127"/>
    <w:rsid w:val="21F7745C"/>
    <w:rsid w:val="22035C75"/>
    <w:rsid w:val="22106FD4"/>
    <w:rsid w:val="221D2FA3"/>
    <w:rsid w:val="221E50E4"/>
    <w:rsid w:val="22222D13"/>
    <w:rsid w:val="2226635F"/>
    <w:rsid w:val="222D4F0B"/>
    <w:rsid w:val="223A29CF"/>
    <w:rsid w:val="223D7545"/>
    <w:rsid w:val="22411D14"/>
    <w:rsid w:val="22423BE1"/>
    <w:rsid w:val="22454449"/>
    <w:rsid w:val="22500810"/>
    <w:rsid w:val="22596EC8"/>
    <w:rsid w:val="225B3D6B"/>
    <w:rsid w:val="226347BD"/>
    <w:rsid w:val="22682935"/>
    <w:rsid w:val="226D3C33"/>
    <w:rsid w:val="226E0A7E"/>
    <w:rsid w:val="22715191"/>
    <w:rsid w:val="227E0D30"/>
    <w:rsid w:val="227E7CD6"/>
    <w:rsid w:val="228A4698"/>
    <w:rsid w:val="22914245"/>
    <w:rsid w:val="22925971"/>
    <w:rsid w:val="22945167"/>
    <w:rsid w:val="229B0BE2"/>
    <w:rsid w:val="22A55CD5"/>
    <w:rsid w:val="22C558BB"/>
    <w:rsid w:val="22C70D19"/>
    <w:rsid w:val="22C74EE2"/>
    <w:rsid w:val="22CA188A"/>
    <w:rsid w:val="22CB6237"/>
    <w:rsid w:val="22CD14B5"/>
    <w:rsid w:val="22E02C6E"/>
    <w:rsid w:val="22E04FF4"/>
    <w:rsid w:val="22E1121B"/>
    <w:rsid w:val="22EA4C70"/>
    <w:rsid w:val="22F15AB9"/>
    <w:rsid w:val="22F75251"/>
    <w:rsid w:val="22F7746D"/>
    <w:rsid w:val="22F86F75"/>
    <w:rsid w:val="22FB4D32"/>
    <w:rsid w:val="22FC72E3"/>
    <w:rsid w:val="23131055"/>
    <w:rsid w:val="23146AC2"/>
    <w:rsid w:val="232C2DD6"/>
    <w:rsid w:val="233C6F76"/>
    <w:rsid w:val="234449F5"/>
    <w:rsid w:val="23536618"/>
    <w:rsid w:val="236C1BCA"/>
    <w:rsid w:val="237464D5"/>
    <w:rsid w:val="23812C99"/>
    <w:rsid w:val="23816932"/>
    <w:rsid w:val="238E01E4"/>
    <w:rsid w:val="23925D42"/>
    <w:rsid w:val="239C062C"/>
    <w:rsid w:val="23A9484E"/>
    <w:rsid w:val="23B32F98"/>
    <w:rsid w:val="23B84268"/>
    <w:rsid w:val="23C64686"/>
    <w:rsid w:val="23D17D7B"/>
    <w:rsid w:val="23D36D91"/>
    <w:rsid w:val="23E02099"/>
    <w:rsid w:val="23E65AD0"/>
    <w:rsid w:val="23EF1757"/>
    <w:rsid w:val="23F70BA5"/>
    <w:rsid w:val="23F93D0D"/>
    <w:rsid w:val="2405417E"/>
    <w:rsid w:val="24197365"/>
    <w:rsid w:val="241B5C62"/>
    <w:rsid w:val="242A4D36"/>
    <w:rsid w:val="242A56EB"/>
    <w:rsid w:val="24312CB0"/>
    <w:rsid w:val="243A6CBE"/>
    <w:rsid w:val="24513B48"/>
    <w:rsid w:val="2458381E"/>
    <w:rsid w:val="245872F9"/>
    <w:rsid w:val="245943D9"/>
    <w:rsid w:val="245E6B64"/>
    <w:rsid w:val="2463385E"/>
    <w:rsid w:val="246B2606"/>
    <w:rsid w:val="24767C7B"/>
    <w:rsid w:val="247C178B"/>
    <w:rsid w:val="247E39CA"/>
    <w:rsid w:val="24861BCE"/>
    <w:rsid w:val="2486388F"/>
    <w:rsid w:val="24967323"/>
    <w:rsid w:val="249D5FC8"/>
    <w:rsid w:val="24A1538E"/>
    <w:rsid w:val="24B9450F"/>
    <w:rsid w:val="24C25350"/>
    <w:rsid w:val="24C83F94"/>
    <w:rsid w:val="24D82EE2"/>
    <w:rsid w:val="24DA4806"/>
    <w:rsid w:val="24DF46F6"/>
    <w:rsid w:val="24F60CDA"/>
    <w:rsid w:val="24F80EA8"/>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AB575C"/>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3C686F"/>
    <w:rsid w:val="2641231E"/>
    <w:rsid w:val="264252DF"/>
    <w:rsid w:val="26465DA0"/>
    <w:rsid w:val="26562F1C"/>
    <w:rsid w:val="26577EF5"/>
    <w:rsid w:val="265A5249"/>
    <w:rsid w:val="265C53CB"/>
    <w:rsid w:val="266237C3"/>
    <w:rsid w:val="266C1436"/>
    <w:rsid w:val="267550B9"/>
    <w:rsid w:val="26996DAE"/>
    <w:rsid w:val="26B523D9"/>
    <w:rsid w:val="26BE1846"/>
    <w:rsid w:val="26C472EC"/>
    <w:rsid w:val="26E51F4F"/>
    <w:rsid w:val="26E83216"/>
    <w:rsid w:val="26EC491A"/>
    <w:rsid w:val="26ED73E1"/>
    <w:rsid w:val="26F503CD"/>
    <w:rsid w:val="27036506"/>
    <w:rsid w:val="27047832"/>
    <w:rsid w:val="2706037D"/>
    <w:rsid w:val="27077793"/>
    <w:rsid w:val="270D152E"/>
    <w:rsid w:val="271436A9"/>
    <w:rsid w:val="271D0EB4"/>
    <w:rsid w:val="27204B5D"/>
    <w:rsid w:val="27257DE1"/>
    <w:rsid w:val="272F31A0"/>
    <w:rsid w:val="27310CAC"/>
    <w:rsid w:val="27342901"/>
    <w:rsid w:val="273D2762"/>
    <w:rsid w:val="27470B72"/>
    <w:rsid w:val="27525E32"/>
    <w:rsid w:val="27575417"/>
    <w:rsid w:val="27604751"/>
    <w:rsid w:val="276621B4"/>
    <w:rsid w:val="276D111F"/>
    <w:rsid w:val="2778582E"/>
    <w:rsid w:val="27806765"/>
    <w:rsid w:val="27821DE7"/>
    <w:rsid w:val="27832596"/>
    <w:rsid w:val="278C1620"/>
    <w:rsid w:val="279B1E53"/>
    <w:rsid w:val="279C5F0C"/>
    <w:rsid w:val="279E0177"/>
    <w:rsid w:val="27AA3521"/>
    <w:rsid w:val="27AB7429"/>
    <w:rsid w:val="27B10D86"/>
    <w:rsid w:val="27BE590A"/>
    <w:rsid w:val="27C0656B"/>
    <w:rsid w:val="27C5186E"/>
    <w:rsid w:val="27C57B2B"/>
    <w:rsid w:val="27C8029E"/>
    <w:rsid w:val="27CC78AC"/>
    <w:rsid w:val="27D72FE7"/>
    <w:rsid w:val="27D86029"/>
    <w:rsid w:val="27DD45ED"/>
    <w:rsid w:val="27E3651B"/>
    <w:rsid w:val="27E54AD0"/>
    <w:rsid w:val="27E66B1C"/>
    <w:rsid w:val="27E864CC"/>
    <w:rsid w:val="27EC25E3"/>
    <w:rsid w:val="27ED0939"/>
    <w:rsid w:val="27F1498B"/>
    <w:rsid w:val="27F4175B"/>
    <w:rsid w:val="27F80CA0"/>
    <w:rsid w:val="28021134"/>
    <w:rsid w:val="2802750E"/>
    <w:rsid w:val="28027A71"/>
    <w:rsid w:val="281D5376"/>
    <w:rsid w:val="281F4F67"/>
    <w:rsid w:val="282857E6"/>
    <w:rsid w:val="28325770"/>
    <w:rsid w:val="283744B4"/>
    <w:rsid w:val="283E7768"/>
    <w:rsid w:val="28485D62"/>
    <w:rsid w:val="28517107"/>
    <w:rsid w:val="28524ABE"/>
    <w:rsid w:val="285560D7"/>
    <w:rsid w:val="28613E6A"/>
    <w:rsid w:val="28620877"/>
    <w:rsid w:val="286C77D1"/>
    <w:rsid w:val="286D03C2"/>
    <w:rsid w:val="286E74F1"/>
    <w:rsid w:val="28760CA0"/>
    <w:rsid w:val="28792C68"/>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77BAF"/>
    <w:rsid w:val="292120C3"/>
    <w:rsid w:val="294E766A"/>
    <w:rsid w:val="2952590A"/>
    <w:rsid w:val="295545AF"/>
    <w:rsid w:val="29623F1E"/>
    <w:rsid w:val="297161D3"/>
    <w:rsid w:val="2978319A"/>
    <w:rsid w:val="29886D49"/>
    <w:rsid w:val="29897A2F"/>
    <w:rsid w:val="29954C89"/>
    <w:rsid w:val="29A015B3"/>
    <w:rsid w:val="29A02DFF"/>
    <w:rsid w:val="29A3014B"/>
    <w:rsid w:val="29A74CBD"/>
    <w:rsid w:val="29A80BF5"/>
    <w:rsid w:val="29B01C34"/>
    <w:rsid w:val="29B16357"/>
    <w:rsid w:val="29B1716B"/>
    <w:rsid w:val="29BA0D88"/>
    <w:rsid w:val="29BB3E72"/>
    <w:rsid w:val="29CF32B2"/>
    <w:rsid w:val="29DE15A2"/>
    <w:rsid w:val="29E0500B"/>
    <w:rsid w:val="29E56462"/>
    <w:rsid w:val="29EC475A"/>
    <w:rsid w:val="29EF3680"/>
    <w:rsid w:val="29EF424E"/>
    <w:rsid w:val="29F35970"/>
    <w:rsid w:val="29F42745"/>
    <w:rsid w:val="29FA7F26"/>
    <w:rsid w:val="2A0B7871"/>
    <w:rsid w:val="2A166823"/>
    <w:rsid w:val="2A35650F"/>
    <w:rsid w:val="2A405845"/>
    <w:rsid w:val="2A4562D4"/>
    <w:rsid w:val="2A4D593F"/>
    <w:rsid w:val="2A575627"/>
    <w:rsid w:val="2A6C2D77"/>
    <w:rsid w:val="2A6E31F8"/>
    <w:rsid w:val="2A7270B7"/>
    <w:rsid w:val="2A824349"/>
    <w:rsid w:val="2A82713D"/>
    <w:rsid w:val="2A87174E"/>
    <w:rsid w:val="2A8A2F9C"/>
    <w:rsid w:val="2AA45D17"/>
    <w:rsid w:val="2AAB3B94"/>
    <w:rsid w:val="2AAC5A06"/>
    <w:rsid w:val="2AB22DE3"/>
    <w:rsid w:val="2AB369FC"/>
    <w:rsid w:val="2AB775FB"/>
    <w:rsid w:val="2ABB3D6F"/>
    <w:rsid w:val="2AC318D9"/>
    <w:rsid w:val="2AC70B30"/>
    <w:rsid w:val="2ACC2AAF"/>
    <w:rsid w:val="2ACD46FA"/>
    <w:rsid w:val="2ACD717C"/>
    <w:rsid w:val="2AD74744"/>
    <w:rsid w:val="2AD91AC2"/>
    <w:rsid w:val="2AE23BB4"/>
    <w:rsid w:val="2AE57C95"/>
    <w:rsid w:val="2AE97E06"/>
    <w:rsid w:val="2AF34B3D"/>
    <w:rsid w:val="2AF35C8B"/>
    <w:rsid w:val="2B055F4D"/>
    <w:rsid w:val="2B0C0EEE"/>
    <w:rsid w:val="2B112D02"/>
    <w:rsid w:val="2B132265"/>
    <w:rsid w:val="2B214776"/>
    <w:rsid w:val="2B2843BE"/>
    <w:rsid w:val="2B2A789A"/>
    <w:rsid w:val="2B313FC1"/>
    <w:rsid w:val="2B347C14"/>
    <w:rsid w:val="2B39348E"/>
    <w:rsid w:val="2B3C602B"/>
    <w:rsid w:val="2B437285"/>
    <w:rsid w:val="2B494377"/>
    <w:rsid w:val="2B4D695C"/>
    <w:rsid w:val="2B514803"/>
    <w:rsid w:val="2B5E6C2A"/>
    <w:rsid w:val="2B637D4B"/>
    <w:rsid w:val="2B6B1684"/>
    <w:rsid w:val="2B7B70BF"/>
    <w:rsid w:val="2B853AF3"/>
    <w:rsid w:val="2B8B422C"/>
    <w:rsid w:val="2B950A36"/>
    <w:rsid w:val="2BA07D38"/>
    <w:rsid w:val="2BB76C46"/>
    <w:rsid w:val="2BC40957"/>
    <w:rsid w:val="2BCA5C66"/>
    <w:rsid w:val="2BCB5DAA"/>
    <w:rsid w:val="2BD65380"/>
    <w:rsid w:val="2BD86372"/>
    <w:rsid w:val="2BDA39FD"/>
    <w:rsid w:val="2BE725D0"/>
    <w:rsid w:val="2BEF631E"/>
    <w:rsid w:val="2BF369B9"/>
    <w:rsid w:val="2BFC0A4A"/>
    <w:rsid w:val="2C094904"/>
    <w:rsid w:val="2C0E55A1"/>
    <w:rsid w:val="2C14030B"/>
    <w:rsid w:val="2C311447"/>
    <w:rsid w:val="2C346DB5"/>
    <w:rsid w:val="2C3A7BF6"/>
    <w:rsid w:val="2C425BCE"/>
    <w:rsid w:val="2C44676A"/>
    <w:rsid w:val="2C495C38"/>
    <w:rsid w:val="2C4A080C"/>
    <w:rsid w:val="2C4E77B9"/>
    <w:rsid w:val="2C54533B"/>
    <w:rsid w:val="2C59058C"/>
    <w:rsid w:val="2C591378"/>
    <w:rsid w:val="2C722F9A"/>
    <w:rsid w:val="2C765D7F"/>
    <w:rsid w:val="2C797A76"/>
    <w:rsid w:val="2C8B6C0E"/>
    <w:rsid w:val="2C8F4862"/>
    <w:rsid w:val="2C9E5AC8"/>
    <w:rsid w:val="2CA05674"/>
    <w:rsid w:val="2CA2721B"/>
    <w:rsid w:val="2CAC6D87"/>
    <w:rsid w:val="2CB23B2C"/>
    <w:rsid w:val="2CB268EE"/>
    <w:rsid w:val="2CB600FC"/>
    <w:rsid w:val="2CB85E71"/>
    <w:rsid w:val="2CBE6567"/>
    <w:rsid w:val="2CCB6E18"/>
    <w:rsid w:val="2CCC2BFE"/>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816C0"/>
    <w:rsid w:val="2D395427"/>
    <w:rsid w:val="2D3A2269"/>
    <w:rsid w:val="2D3D0E02"/>
    <w:rsid w:val="2D510F65"/>
    <w:rsid w:val="2D5436FA"/>
    <w:rsid w:val="2D59263A"/>
    <w:rsid w:val="2D62469E"/>
    <w:rsid w:val="2D6B40A9"/>
    <w:rsid w:val="2D6D7E98"/>
    <w:rsid w:val="2D8A3FA2"/>
    <w:rsid w:val="2D9767DC"/>
    <w:rsid w:val="2D980DDC"/>
    <w:rsid w:val="2D987372"/>
    <w:rsid w:val="2DA23689"/>
    <w:rsid w:val="2DBC2A76"/>
    <w:rsid w:val="2DC66A91"/>
    <w:rsid w:val="2DC92AA1"/>
    <w:rsid w:val="2DCE5F69"/>
    <w:rsid w:val="2DD11821"/>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200"/>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825AD"/>
    <w:rsid w:val="2F895685"/>
    <w:rsid w:val="2F9A13B4"/>
    <w:rsid w:val="2FA07393"/>
    <w:rsid w:val="2FA417BA"/>
    <w:rsid w:val="2FA6492D"/>
    <w:rsid w:val="2FAE0E14"/>
    <w:rsid w:val="2FB339F3"/>
    <w:rsid w:val="2FC86676"/>
    <w:rsid w:val="2FCA3CBE"/>
    <w:rsid w:val="2FD17A1B"/>
    <w:rsid w:val="2FD71CA4"/>
    <w:rsid w:val="2FDC432A"/>
    <w:rsid w:val="2FDC4A8D"/>
    <w:rsid w:val="2FDD73CC"/>
    <w:rsid w:val="2FE27109"/>
    <w:rsid w:val="2FEA743A"/>
    <w:rsid w:val="2FF24D11"/>
    <w:rsid w:val="2FF93066"/>
    <w:rsid w:val="30114224"/>
    <w:rsid w:val="301742B2"/>
    <w:rsid w:val="301A1509"/>
    <w:rsid w:val="301A71CE"/>
    <w:rsid w:val="301D63DD"/>
    <w:rsid w:val="301E049B"/>
    <w:rsid w:val="301F656F"/>
    <w:rsid w:val="302A4BE6"/>
    <w:rsid w:val="3030635F"/>
    <w:rsid w:val="304478EC"/>
    <w:rsid w:val="304F4511"/>
    <w:rsid w:val="30515C8E"/>
    <w:rsid w:val="305823FF"/>
    <w:rsid w:val="30830761"/>
    <w:rsid w:val="30926F91"/>
    <w:rsid w:val="30962F3E"/>
    <w:rsid w:val="30A13F14"/>
    <w:rsid w:val="30A85733"/>
    <w:rsid w:val="30AA2585"/>
    <w:rsid w:val="30B07269"/>
    <w:rsid w:val="30C16A19"/>
    <w:rsid w:val="30C262B6"/>
    <w:rsid w:val="30CB5800"/>
    <w:rsid w:val="30D32236"/>
    <w:rsid w:val="30DB6CFA"/>
    <w:rsid w:val="30E43E12"/>
    <w:rsid w:val="30E53B71"/>
    <w:rsid w:val="30E8513F"/>
    <w:rsid w:val="30FA7530"/>
    <w:rsid w:val="30FF2795"/>
    <w:rsid w:val="31015E30"/>
    <w:rsid w:val="310375CD"/>
    <w:rsid w:val="310854C5"/>
    <w:rsid w:val="310D44C6"/>
    <w:rsid w:val="310E6387"/>
    <w:rsid w:val="311611B3"/>
    <w:rsid w:val="31180F58"/>
    <w:rsid w:val="311F6A53"/>
    <w:rsid w:val="31262BAF"/>
    <w:rsid w:val="313C313D"/>
    <w:rsid w:val="313F6DC6"/>
    <w:rsid w:val="314E236F"/>
    <w:rsid w:val="315C5815"/>
    <w:rsid w:val="315E0B07"/>
    <w:rsid w:val="31621F46"/>
    <w:rsid w:val="316A723C"/>
    <w:rsid w:val="316E7CA0"/>
    <w:rsid w:val="317206BF"/>
    <w:rsid w:val="317932EA"/>
    <w:rsid w:val="317938E9"/>
    <w:rsid w:val="317E5000"/>
    <w:rsid w:val="31870868"/>
    <w:rsid w:val="31875BB4"/>
    <w:rsid w:val="319709BD"/>
    <w:rsid w:val="319B3F06"/>
    <w:rsid w:val="31A9328B"/>
    <w:rsid w:val="31AD09F7"/>
    <w:rsid w:val="31B718F2"/>
    <w:rsid w:val="31C57B88"/>
    <w:rsid w:val="31D20051"/>
    <w:rsid w:val="31D5443A"/>
    <w:rsid w:val="31DC626C"/>
    <w:rsid w:val="31E745D2"/>
    <w:rsid w:val="31EF7EE8"/>
    <w:rsid w:val="3201404F"/>
    <w:rsid w:val="320901F5"/>
    <w:rsid w:val="320B7CCB"/>
    <w:rsid w:val="32105DE8"/>
    <w:rsid w:val="32286907"/>
    <w:rsid w:val="322E2721"/>
    <w:rsid w:val="322E5A7A"/>
    <w:rsid w:val="3235187E"/>
    <w:rsid w:val="3237186B"/>
    <w:rsid w:val="323B6798"/>
    <w:rsid w:val="32463C48"/>
    <w:rsid w:val="32537B57"/>
    <w:rsid w:val="3257309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A062A"/>
    <w:rsid w:val="337D34FB"/>
    <w:rsid w:val="337E2DAF"/>
    <w:rsid w:val="339C6DF8"/>
    <w:rsid w:val="33A47053"/>
    <w:rsid w:val="33AD5111"/>
    <w:rsid w:val="33BF4199"/>
    <w:rsid w:val="33CD23A8"/>
    <w:rsid w:val="33CD6498"/>
    <w:rsid w:val="33D7554F"/>
    <w:rsid w:val="33D825FA"/>
    <w:rsid w:val="33DB2AB1"/>
    <w:rsid w:val="33FA40FA"/>
    <w:rsid w:val="33FE62E7"/>
    <w:rsid w:val="34014663"/>
    <w:rsid w:val="34080399"/>
    <w:rsid w:val="340D25F6"/>
    <w:rsid w:val="34161D6C"/>
    <w:rsid w:val="341E19AD"/>
    <w:rsid w:val="34265725"/>
    <w:rsid w:val="342763E9"/>
    <w:rsid w:val="3429226D"/>
    <w:rsid w:val="342B76C7"/>
    <w:rsid w:val="343A1527"/>
    <w:rsid w:val="3441650E"/>
    <w:rsid w:val="34447898"/>
    <w:rsid w:val="344E62FA"/>
    <w:rsid w:val="34542DE9"/>
    <w:rsid w:val="34542E46"/>
    <w:rsid w:val="346C4879"/>
    <w:rsid w:val="346D7DEA"/>
    <w:rsid w:val="3472234D"/>
    <w:rsid w:val="347D500F"/>
    <w:rsid w:val="34830157"/>
    <w:rsid w:val="34872D27"/>
    <w:rsid w:val="348A3241"/>
    <w:rsid w:val="348E58C4"/>
    <w:rsid w:val="349164BD"/>
    <w:rsid w:val="3495237E"/>
    <w:rsid w:val="3499657C"/>
    <w:rsid w:val="34A40DA8"/>
    <w:rsid w:val="34A52713"/>
    <w:rsid w:val="34BD02AE"/>
    <w:rsid w:val="34BD32A6"/>
    <w:rsid w:val="34BE1B67"/>
    <w:rsid w:val="34C20DC7"/>
    <w:rsid w:val="34C77705"/>
    <w:rsid w:val="34DA26A8"/>
    <w:rsid w:val="34DE2B9F"/>
    <w:rsid w:val="34DF0124"/>
    <w:rsid w:val="34E145D2"/>
    <w:rsid w:val="34E75EA5"/>
    <w:rsid w:val="34E960F1"/>
    <w:rsid w:val="34EE6187"/>
    <w:rsid w:val="350A65C4"/>
    <w:rsid w:val="350B42D5"/>
    <w:rsid w:val="350F6258"/>
    <w:rsid w:val="35126D01"/>
    <w:rsid w:val="35184A75"/>
    <w:rsid w:val="351977B4"/>
    <w:rsid w:val="351A603C"/>
    <w:rsid w:val="352821F6"/>
    <w:rsid w:val="35292624"/>
    <w:rsid w:val="3533698A"/>
    <w:rsid w:val="35387F19"/>
    <w:rsid w:val="3539550B"/>
    <w:rsid w:val="35413331"/>
    <w:rsid w:val="354319AA"/>
    <w:rsid w:val="354D5E0E"/>
    <w:rsid w:val="355D10E3"/>
    <w:rsid w:val="355F206B"/>
    <w:rsid w:val="356150BC"/>
    <w:rsid w:val="356678B4"/>
    <w:rsid w:val="3573649F"/>
    <w:rsid w:val="35774602"/>
    <w:rsid w:val="357E4B0A"/>
    <w:rsid w:val="35837DFD"/>
    <w:rsid w:val="35866D7F"/>
    <w:rsid w:val="358F6BDF"/>
    <w:rsid w:val="35917C0B"/>
    <w:rsid w:val="359611AB"/>
    <w:rsid w:val="359D0688"/>
    <w:rsid w:val="35A210A7"/>
    <w:rsid w:val="35A26AC9"/>
    <w:rsid w:val="35A440D7"/>
    <w:rsid w:val="35AE1117"/>
    <w:rsid w:val="35AE3DE9"/>
    <w:rsid w:val="35C06D50"/>
    <w:rsid w:val="35C92EE6"/>
    <w:rsid w:val="35CC6426"/>
    <w:rsid w:val="35CD6F14"/>
    <w:rsid w:val="35D24294"/>
    <w:rsid w:val="35D71152"/>
    <w:rsid w:val="35EC5DEC"/>
    <w:rsid w:val="35F629BD"/>
    <w:rsid w:val="35FF6F3C"/>
    <w:rsid w:val="3600359A"/>
    <w:rsid w:val="36075F27"/>
    <w:rsid w:val="36121506"/>
    <w:rsid w:val="36180A4A"/>
    <w:rsid w:val="361D7A43"/>
    <w:rsid w:val="361E658D"/>
    <w:rsid w:val="361F3323"/>
    <w:rsid w:val="362C64B5"/>
    <w:rsid w:val="363019EB"/>
    <w:rsid w:val="36326D0C"/>
    <w:rsid w:val="363835C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37903"/>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93B1D"/>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1381E"/>
    <w:rsid w:val="38647460"/>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D76CC"/>
    <w:rsid w:val="38E40A5B"/>
    <w:rsid w:val="38E51952"/>
    <w:rsid w:val="38F16A28"/>
    <w:rsid w:val="3913128B"/>
    <w:rsid w:val="391A3359"/>
    <w:rsid w:val="39285D57"/>
    <w:rsid w:val="39315D4D"/>
    <w:rsid w:val="393E40A8"/>
    <w:rsid w:val="394B6470"/>
    <w:rsid w:val="395C6EA8"/>
    <w:rsid w:val="39872512"/>
    <w:rsid w:val="398B0FA8"/>
    <w:rsid w:val="39A007AA"/>
    <w:rsid w:val="39A602F9"/>
    <w:rsid w:val="39BD45C8"/>
    <w:rsid w:val="39C2316A"/>
    <w:rsid w:val="39D222B3"/>
    <w:rsid w:val="39D84654"/>
    <w:rsid w:val="39F36281"/>
    <w:rsid w:val="39FD376D"/>
    <w:rsid w:val="39FD6C9C"/>
    <w:rsid w:val="39FF6B36"/>
    <w:rsid w:val="3A000AF2"/>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F3B4E"/>
    <w:rsid w:val="3B552653"/>
    <w:rsid w:val="3B5A2A22"/>
    <w:rsid w:val="3B5B5607"/>
    <w:rsid w:val="3B6B4F3A"/>
    <w:rsid w:val="3B707794"/>
    <w:rsid w:val="3B7804A3"/>
    <w:rsid w:val="3B8238C3"/>
    <w:rsid w:val="3B835171"/>
    <w:rsid w:val="3B8E2153"/>
    <w:rsid w:val="3B9B2072"/>
    <w:rsid w:val="3BA03B83"/>
    <w:rsid w:val="3BA551AF"/>
    <w:rsid w:val="3BA91F03"/>
    <w:rsid w:val="3BB16FA6"/>
    <w:rsid w:val="3BB17CE6"/>
    <w:rsid w:val="3BB20883"/>
    <w:rsid w:val="3BB448B0"/>
    <w:rsid w:val="3BC34E75"/>
    <w:rsid w:val="3BCB270F"/>
    <w:rsid w:val="3BD569C2"/>
    <w:rsid w:val="3BD96AA6"/>
    <w:rsid w:val="3BDB053C"/>
    <w:rsid w:val="3BE4466B"/>
    <w:rsid w:val="3BED002E"/>
    <w:rsid w:val="3BF64842"/>
    <w:rsid w:val="3C0429BF"/>
    <w:rsid w:val="3C060196"/>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6F06BD"/>
    <w:rsid w:val="3C712E5F"/>
    <w:rsid w:val="3C734413"/>
    <w:rsid w:val="3C764842"/>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4209E"/>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17CAA"/>
    <w:rsid w:val="3D62706F"/>
    <w:rsid w:val="3D6E2272"/>
    <w:rsid w:val="3D7104CE"/>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8720F"/>
    <w:rsid w:val="3E1328D6"/>
    <w:rsid w:val="3E1B7668"/>
    <w:rsid w:val="3E1C6544"/>
    <w:rsid w:val="3E1D4B24"/>
    <w:rsid w:val="3E2A7B0A"/>
    <w:rsid w:val="3E314520"/>
    <w:rsid w:val="3E3A04FA"/>
    <w:rsid w:val="3E3D6B96"/>
    <w:rsid w:val="3E3F202E"/>
    <w:rsid w:val="3E4157CD"/>
    <w:rsid w:val="3E441C7D"/>
    <w:rsid w:val="3E490256"/>
    <w:rsid w:val="3E4C16BD"/>
    <w:rsid w:val="3E4C2EC5"/>
    <w:rsid w:val="3E55739E"/>
    <w:rsid w:val="3E68075C"/>
    <w:rsid w:val="3E6C43C8"/>
    <w:rsid w:val="3E6E6161"/>
    <w:rsid w:val="3E8227F0"/>
    <w:rsid w:val="3E937F82"/>
    <w:rsid w:val="3E9B4B40"/>
    <w:rsid w:val="3EB71AC8"/>
    <w:rsid w:val="3EC14CA0"/>
    <w:rsid w:val="3EC85E34"/>
    <w:rsid w:val="3ECF2AAC"/>
    <w:rsid w:val="3ED0424C"/>
    <w:rsid w:val="3ED07B7E"/>
    <w:rsid w:val="3EDC2C5B"/>
    <w:rsid w:val="3EF31E7F"/>
    <w:rsid w:val="3EF36DF0"/>
    <w:rsid w:val="3EFC77FE"/>
    <w:rsid w:val="3F003339"/>
    <w:rsid w:val="3F035EE1"/>
    <w:rsid w:val="3F053EF6"/>
    <w:rsid w:val="3F093188"/>
    <w:rsid w:val="3F0C1E13"/>
    <w:rsid w:val="3F173F6B"/>
    <w:rsid w:val="3F1A20DE"/>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93586"/>
    <w:rsid w:val="3FB45C58"/>
    <w:rsid w:val="3FBA1D11"/>
    <w:rsid w:val="3FC36557"/>
    <w:rsid w:val="3FC956FF"/>
    <w:rsid w:val="3FD13F50"/>
    <w:rsid w:val="3FD4525F"/>
    <w:rsid w:val="3FDC5F31"/>
    <w:rsid w:val="3FE04625"/>
    <w:rsid w:val="3FE86CE8"/>
    <w:rsid w:val="3FEF3DCD"/>
    <w:rsid w:val="3FF148F7"/>
    <w:rsid w:val="3FFB0F66"/>
    <w:rsid w:val="40022F93"/>
    <w:rsid w:val="400E6DDA"/>
    <w:rsid w:val="40146E6B"/>
    <w:rsid w:val="40225B50"/>
    <w:rsid w:val="402F649F"/>
    <w:rsid w:val="403052F1"/>
    <w:rsid w:val="40330D29"/>
    <w:rsid w:val="403B277F"/>
    <w:rsid w:val="404469FD"/>
    <w:rsid w:val="404A2717"/>
    <w:rsid w:val="404E779F"/>
    <w:rsid w:val="4059090D"/>
    <w:rsid w:val="4065170A"/>
    <w:rsid w:val="40687776"/>
    <w:rsid w:val="406966BC"/>
    <w:rsid w:val="406C4DFB"/>
    <w:rsid w:val="406E5CAB"/>
    <w:rsid w:val="40713C35"/>
    <w:rsid w:val="40823B87"/>
    <w:rsid w:val="408355D6"/>
    <w:rsid w:val="408376F8"/>
    <w:rsid w:val="408C04D2"/>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1C49CD"/>
    <w:rsid w:val="41325883"/>
    <w:rsid w:val="413353F1"/>
    <w:rsid w:val="41372918"/>
    <w:rsid w:val="41464224"/>
    <w:rsid w:val="414C0B0E"/>
    <w:rsid w:val="41513BC9"/>
    <w:rsid w:val="41713236"/>
    <w:rsid w:val="41735B7F"/>
    <w:rsid w:val="419302E2"/>
    <w:rsid w:val="419C5FD8"/>
    <w:rsid w:val="419E558F"/>
    <w:rsid w:val="419E60D3"/>
    <w:rsid w:val="41A25332"/>
    <w:rsid w:val="41A339F5"/>
    <w:rsid w:val="41A36C7E"/>
    <w:rsid w:val="41A55EEC"/>
    <w:rsid w:val="41AA4A84"/>
    <w:rsid w:val="41AF06D0"/>
    <w:rsid w:val="41C45B38"/>
    <w:rsid w:val="41C93F6C"/>
    <w:rsid w:val="41D5139D"/>
    <w:rsid w:val="41D75714"/>
    <w:rsid w:val="41DD3BC3"/>
    <w:rsid w:val="41E535F4"/>
    <w:rsid w:val="41EE2F03"/>
    <w:rsid w:val="41F466FD"/>
    <w:rsid w:val="41FF4213"/>
    <w:rsid w:val="42002BC7"/>
    <w:rsid w:val="42026B03"/>
    <w:rsid w:val="420C60D5"/>
    <w:rsid w:val="420D197F"/>
    <w:rsid w:val="42130DE5"/>
    <w:rsid w:val="42187EBE"/>
    <w:rsid w:val="42201DD7"/>
    <w:rsid w:val="42240D3F"/>
    <w:rsid w:val="42273D8C"/>
    <w:rsid w:val="4227435A"/>
    <w:rsid w:val="42300D9C"/>
    <w:rsid w:val="423A3582"/>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92A2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03D58"/>
    <w:rsid w:val="436263D5"/>
    <w:rsid w:val="437556C4"/>
    <w:rsid w:val="43874CD4"/>
    <w:rsid w:val="43874FE8"/>
    <w:rsid w:val="439B699F"/>
    <w:rsid w:val="439D3E18"/>
    <w:rsid w:val="439E6C2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200B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851C4"/>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26C7C"/>
    <w:rsid w:val="46E53335"/>
    <w:rsid w:val="46E544E3"/>
    <w:rsid w:val="46E87DBA"/>
    <w:rsid w:val="46EE15F6"/>
    <w:rsid w:val="46EE2CC7"/>
    <w:rsid w:val="46F11440"/>
    <w:rsid w:val="46FA7468"/>
    <w:rsid w:val="470F7B86"/>
    <w:rsid w:val="47155D89"/>
    <w:rsid w:val="47193F22"/>
    <w:rsid w:val="473069AF"/>
    <w:rsid w:val="473359FE"/>
    <w:rsid w:val="47343DDE"/>
    <w:rsid w:val="47356ECD"/>
    <w:rsid w:val="47484E32"/>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3627A8"/>
    <w:rsid w:val="484417FA"/>
    <w:rsid w:val="48450ECE"/>
    <w:rsid w:val="484759CD"/>
    <w:rsid w:val="48481496"/>
    <w:rsid w:val="484B14EC"/>
    <w:rsid w:val="48602710"/>
    <w:rsid w:val="48713351"/>
    <w:rsid w:val="48725C43"/>
    <w:rsid w:val="48802846"/>
    <w:rsid w:val="488260F9"/>
    <w:rsid w:val="48850157"/>
    <w:rsid w:val="489E7DA3"/>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9FE4F2C"/>
    <w:rsid w:val="4A020D37"/>
    <w:rsid w:val="4A0244D3"/>
    <w:rsid w:val="4A255046"/>
    <w:rsid w:val="4A2E1525"/>
    <w:rsid w:val="4A4D071A"/>
    <w:rsid w:val="4A5A756D"/>
    <w:rsid w:val="4A722B4C"/>
    <w:rsid w:val="4A785772"/>
    <w:rsid w:val="4A7A7433"/>
    <w:rsid w:val="4A842E43"/>
    <w:rsid w:val="4A886D1D"/>
    <w:rsid w:val="4A89105B"/>
    <w:rsid w:val="4A912BF7"/>
    <w:rsid w:val="4A955EEB"/>
    <w:rsid w:val="4AA341CC"/>
    <w:rsid w:val="4AAD4AA9"/>
    <w:rsid w:val="4AC13295"/>
    <w:rsid w:val="4AC31003"/>
    <w:rsid w:val="4AC40F4C"/>
    <w:rsid w:val="4AC91D29"/>
    <w:rsid w:val="4AD25F33"/>
    <w:rsid w:val="4AD763B8"/>
    <w:rsid w:val="4ADD641F"/>
    <w:rsid w:val="4AE072CB"/>
    <w:rsid w:val="4AE93159"/>
    <w:rsid w:val="4AED65F4"/>
    <w:rsid w:val="4AF02EA1"/>
    <w:rsid w:val="4B0428AF"/>
    <w:rsid w:val="4B174032"/>
    <w:rsid w:val="4B1C090F"/>
    <w:rsid w:val="4B1C3A76"/>
    <w:rsid w:val="4B1D7328"/>
    <w:rsid w:val="4B1F41F9"/>
    <w:rsid w:val="4B250CF8"/>
    <w:rsid w:val="4B2873FD"/>
    <w:rsid w:val="4B3D4DE9"/>
    <w:rsid w:val="4B59618C"/>
    <w:rsid w:val="4B5B2C7E"/>
    <w:rsid w:val="4B6A74A5"/>
    <w:rsid w:val="4B6D6F07"/>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1913B4"/>
    <w:rsid w:val="4C1A01C1"/>
    <w:rsid w:val="4C2910DF"/>
    <w:rsid w:val="4C2B4DDD"/>
    <w:rsid w:val="4C312198"/>
    <w:rsid w:val="4C336177"/>
    <w:rsid w:val="4C471A55"/>
    <w:rsid w:val="4C4E51AF"/>
    <w:rsid w:val="4C53456F"/>
    <w:rsid w:val="4C562920"/>
    <w:rsid w:val="4C5D1F92"/>
    <w:rsid w:val="4C603F16"/>
    <w:rsid w:val="4C6262E0"/>
    <w:rsid w:val="4C6703A3"/>
    <w:rsid w:val="4C6D7518"/>
    <w:rsid w:val="4C704A5C"/>
    <w:rsid w:val="4C8C1682"/>
    <w:rsid w:val="4C923A72"/>
    <w:rsid w:val="4CAB3057"/>
    <w:rsid w:val="4CB531CC"/>
    <w:rsid w:val="4CB80C32"/>
    <w:rsid w:val="4CB96B0F"/>
    <w:rsid w:val="4CBD582C"/>
    <w:rsid w:val="4CC21369"/>
    <w:rsid w:val="4CD1735E"/>
    <w:rsid w:val="4CE34E9F"/>
    <w:rsid w:val="4CF52D94"/>
    <w:rsid w:val="4D075911"/>
    <w:rsid w:val="4D0C6B0F"/>
    <w:rsid w:val="4D116682"/>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965A1"/>
    <w:rsid w:val="4DAF14C5"/>
    <w:rsid w:val="4DB9067A"/>
    <w:rsid w:val="4DC605B6"/>
    <w:rsid w:val="4DD732D2"/>
    <w:rsid w:val="4DEC0985"/>
    <w:rsid w:val="4E000105"/>
    <w:rsid w:val="4E0538A3"/>
    <w:rsid w:val="4E0E6818"/>
    <w:rsid w:val="4E27683A"/>
    <w:rsid w:val="4E300289"/>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60940"/>
    <w:rsid w:val="4EDB58B2"/>
    <w:rsid w:val="4EE925CE"/>
    <w:rsid w:val="4EEB1A94"/>
    <w:rsid w:val="4EEF2E30"/>
    <w:rsid w:val="4EF24828"/>
    <w:rsid w:val="4EFE7F59"/>
    <w:rsid w:val="4F0557AF"/>
    <w:rsid w:val="4F285975"/>
    <w:rsid w:val="4F2A1A96"/>
    <w:rsid w:val="4F2A7BF3"/>
    <w:rsid w:val="4F2E2624"/>
    <w:rsid w:val="4F3032F3"/>
    <w:rsid w:val="4F4E1077"/>
    <w:rsid w:val="4F546156"/>
    <w:rsid w:val="4F5B6F39"/>
    <w:rsid w:val="4F621F24"/>
    <w:rsid w:val="4F64780B"/>
    <w:rsid w:val="4F6C6998"/>
    <w:rsid w:val="4F727FD6"/>
    <w:rsid w:val="4F836EB9"/>
    <w:rsid w:val="4F844A99"/>
    <w:rsid w:val="4F94662C"/>
    <w:rsid w:val="4FAB774E"/>
    <w:rsid w:val="4FAD40FD"/>
    <w:rsid w:val="4FB00163"/>
    <w:rsid w:val="4FB208E7"/>
    <w:rsid w:val="4FE30332"/>
    <w:rsid w:val="4FE70BB4"/>
    <w:rsid w:val="4FE73C01"/>
    <w:rsid w:val="4FE76D51"/>
    <w:rsid w:val="4FE87C31"/>
    <w:rsid w:val="4FF03F98"/>
    <w:rsid w:val="4FF14DCF"/>
    <w:rsid w:val="4FF62B3F"/>
    <w:rsid w:val="50062DD9"/>
    <w:rsid w:val="50062EF6"/>
    <w:rsid w:val="5008113B"/>
    <w:rsid w:val="500815B6"/>
    <w:rsid w:val="500A7223"/>
    <w:rsid w:val="500B39BC"/>
    <w:rsid w:val="500C204A"/>
    <w:rsid w:val="500D5CBE"/>
    <w:rsid w:val="501502DD"/>
    <w:rsid w:val="501A2172"/>
    <w:rsid w:val="502173F8"/>
    <w:rsid w:val="5022123F"/>
    <w:rsid w:val="502B7315"/>
    <w:rsid w:val="503E570B"/>
    <w:rsid w:val="503F32CF"/>
    <w:rsid w:val="503F62FD"/>
    <w:rsid w:val="5041152A"/>
    <w:rsid w:val="504A1A7A"/>
    <w:rsid w:val="504C77D2"/>
    <w:rsid w:val="50560460"/>
    <w:rsid w:val="50601A5C"/>
    <w:rsid w:val="50675605"/>
    <w:rsid w:val="507055F2"/>
    <w:rsid w:val="507E1B25"/>
    <w:rsid w:val="508E3B94"/>
    <w:rsid w:val="508E4492"/>
    <w:rsid w:val="5090223F"/>
    <w:rsid w:val="50924591"/>
    <w:rsid w:val="50943125"/>
    <w:rsid w:val="50A2548C"/>
    <w:rsid w:val="50A578DE"/>
    <w:rsid w:val="50A649F5"/>
    <w:rsid w:val="50AB5EB6"/>
    <w:rsid w:val="50AD494C"/>
    <w:rsid w:val="50AE6FE2"/>
    <w:rsid w:val="50B16618"/>
    <w:rsid w:val="50BB6306"/>
    <w:rsid w:val="50BF5E9F"/>
    <w:rsid w:val="50C12EDC"/>
    <w:rsid w:val="50C471FF"/>
    <w:rsid w:val="50CD2E4B"/>
    <w:rsid w:val="50D8533B"/>
    <w:rsid w:val="50DA0A9E"/>
    <w:rsid w:val="50ED21B8"/>
    <w:rsid w:val="50F31CB9"/>
    <w:rsid w:val="50F66F3D"/>
    <w:rsid w:val="50F8688B"/>
    <w:rsid w:val="50FA27BD"/>
    <w:rsid w:val="50FA629D"/>
    <w:rsid w:val="50FB1A8B"/>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C2E9E"/>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201FF"/>
    <w:rsid w:val="51E5046A"/>
    <w:rsid w:val="51F6353C"/>
    <w:rsid w:val="520D7B42"/>
    <w:rsid w:val="52175F05"/>
    <w:rsid w:val="52272B85"/>
    <w:rsid w:val="52284E31"/>
    <w:rsid w:val="522A5519"/>
    <w:rsid w:val="523E09B5"/>
    <w:rsid w:val="524053B4"/>
    <w:rsid w:val="52431715"/>
    <w:rsid w:val="52687B2A"/>
    <w:rsid w:val="526D58FF"/>
    <w:rsid w:val="526E0E82"/>
    <w:rsid w:val="52727DC1"/>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75E3C"/>
    <w:rsid w:val="532F77EA"/>
    <w:rsid w:val="53367575"/>
    <w:rsid w:val="533933AA"/>
    <w:rsid w:val="533B7F54"/>
    <w:rsid w:val="533D2D66"/>
    <w:rsid w:val="535009E1"/>
    <w:rsid w:val="53622480"/>
    <w:rsid w:val="53650168"/>
    <w:rsid w:val="53651B48"/>
    <w:rsid w:val="53665DA9"/>
    <w:rsid w:val="536C2A29"/>
    <w:rsid w:val="536E571F"/>
    <w:rsid w:val="538859E4"/>
    <w:rsid w:val="538E3092"/>
    <w:rsid w:val="53902F6B"/>
    <w:rsid w:val="53917F72"/>
    <w:rsid w:val="539F394B"/>
    <w:rsid w:val="53A20FFA"/>
    <w:rsid w:val="53A233E4"/>
    <w:rsid w:val="53A63AE8"/>
    <w:rsid w:val="53A94C48"/>
    <w:rsid w:val="53AA7BC7"/>
    <w:rsid w:val="53AE5EA5"/>
    <w:rsid w:val="53B00B1F"/>
    <w:rsid w:val="53B2409D"/>
    <w:rsid w:val="53B31E73"/>
    <w:rsid w:val="53BD0731"/>
    <w:rsid w:val="53BF4252"/>
    <w:rsid w:val="53C950CA"/>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5359D"/>
    <w:rsid w:val="548A51DF"/>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84466"/>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17390"/>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24246"/>
    <w:rsid w:val="57050D7B"/>
    <w:rsid w:val="5705646B"/>
    <w:rsid w:val="57060649"/>
    <w:rsid w:val="5716320B"/>
    <w:rsid w:val="572657E3"/>
    <w:rsid w:val="5732705F"/>
    <w:rsid w:val="57351D6F"/>
    <w:rsid w:val="573B7F99"/>
    <w:rsid w:val="57422DC7"/>
    <w:rsid w:val="576476C1"/>
    <w:rsid w:val="576E1940"/>
    <w:rsid w:val="57756BF9"/>
    <w:rsid w:val="57770501"/>
    <w:rsid w:val="577B3337"/>
    <w:rsid w:val="577D4F28"/>
    <w:rsid w:val="578B1816"/>
    <w:rsid w:val="578B4A07"/>
    <w:rsid w:val="57A33734"/>
    <w:rsid w:val="57A53B57"/>
    <w:rsid w:val="57AB6ADD"/>
    <w:rsid w:val="57B7178E"/>
    <w:rsid w:val="57B76EED"/>
    <w:rsid w:val="57BD72A7"/>
    <w:rsid w:val="57BE5838"/>
    <w:rsid w:val="57BF764E"/>
    <w:rsid w:val="57C13144"/>
    <w:rsid w:val="57C4347C"/>
    <w:rsid w:val="57CB35DF"/>
    <w:rsid w:val="57D82354"/>
    <w:rsid w:val="57FC0156"/>
    <w:rsid w:val="57FC07D9"/>
    <w:rsid w:val="57FF6992"/>
    <w:rsid w:val="58036FF1"/>
    <w:rsid w:val="580F1B21"/>
    <w:rsid w:val="581B7E79"/>
    <w:rsid w:val="5837438C"/>
    <w:rsid w:val="58420FA1"/>
    <w:rsid w:val="584F342A"/>
    <w:rsid w:val="58500F22"/>
    <w:rsid w:val="58587379"/>
    <w:rsid w:val="585D72B5"/>
    <w:rsid w:val="586D57A3"/>
    <w:rsid w:val="587917A0"/>
    <w:rsid w:val="587A4288"/>
    <w:rsid w:val="5880052B"/>
    <w:rsid w:val="588C2720"/>
    <w:rsid w:val="588E3967"/>
    <w:rsid w:val="589E7444"/>
    <w:rsid w:val="58AD27D9"/>
    <w:rsid w:val="58B169A2"/>
    <w:rsid w:val="58B9636C"/>
    <w:rsid w:val="58C219AE"/>
    <w:rsid w:val="58C37133"/>
    <w:rsid w:val="58C93046"/>
    <w:rsid w:val="58C952C6"/>
    <w:rsid w:val="58D36BCB"/>
    <w:rsid w:val="58D42880"/>
    <w:rsid w:val="58D8157C"/>
    <w:rsid w:val="58E11166"/>
    <w:rsid w:val="58E6349C"/>
    <w:rsid w:val="58E83DEC"/>
    <w:rsid w:val="58EF63EE"/>
    <w:rsid w:val="590317F0"/>
    <w:rsid w:val="59075000"/>
    <w:rsid w:val="592544CF"/>
    <w:rsid w:val="593559FD"/>
    <w:rsid w:val="593A4D15"/>
    <w:rsid w:val="594079B2"/>
    <w:rsid w:val="595B45EE"/>
    <w:rsid w:val="595C4A81"/>
    <w:rsid w:val="596A688E"/>
    <w:rsid w:val="596E7229"/>
    <w:rsid w:val="5972466D"/>
    <w:rsid w:val="59860400"/>
    <w:rsid w:val="5987482A"/>
    <w:rsid w:val="59897DE4"/>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346FD"/>
    <w:rsid w:val="5A641DE9"/>
    <w:rsid w:val="5A746DF6"/>
    <w:rsid w:val="5A8E6670"/>
    <w:rsid w:val="5A912613"/>
    <w:rsid w:val="5A9245E9"/>
    <w:rsid w:val="5A953D41"/>
    <w:rsid w:val="5AA12940"/>
    <w:rsid w:val="5AA2580A"/>
    <w:rsid w:val="5AA75D85"/>
    <w:rsid w:val="5AB7299D"/>
    <w:rsid w:val="5ABC50F4"/>
    <w:rsid w:val="5ACC4940"/>
    <w:rsid w:val="5ACD3CD2"/>
    <w:rsid w:val="5AD7333E"/>
    <w:rsid w:val="5AD85AA5"/>
    <w:rsid w:val="5AD86A6D"/>
    <w:rsid w:val="5ADA2BF4"/>
    <w:rsid w:val="5ADF4325"/>
    <w:rsid w:val="5AE8708E"/>
    <w:rsid w:val="5AEB6283"/>
    <w:rsid w:val="5AEC14F6"/>
    <w:rsid w:val="5AF124A4"/>
    <w:rsid w:val="5B0A4D6B"/>
    <w:rsid w:val="5B141085"/>
    <w:rsid w:val="5B1C2A87"/>
    <w:rsid w:val="5B266C40"/>
    <w:rsid w:val="5B28192B"/>
    <w:rsid w:val="5B33135D"/>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825CAE"/>
    <w:rsid w:val="5B9004A9"/>
    <w:rsid w:val="5B907C6C"/>
    <w:rsid w:val="5B9251EF"/>
    <w:rsid w:val="5BAB5BC4"/>
    <w:rsid w:val="5BAC79AD"/>
    <w:rsid w:val="5BB20B74"/>
    <w:rsid w:val="5BB33170"/>
    <w:rsid w:val="5BC677D8"/>
    <w:rsid w:val="5BC857FD"/>
    <w:rsid w:val="5BD0669E"/>
    <w:rsid w:val="5BEB0120"/>
    <w:rsid w:val="5BEC175C"/>
    <w:rsid w:val="5BEF3E44"/>
    <w:rsid w:val="5BEF69FF"/>
    <w:rsid w:val="5C053E62"/>
    <w:rsid w:val="5C064BA0"/>
    <w:rsid w:val="5C07067E"/>
    <w:rsid w:val="5C075BB6"/>
    <w:rsid w:val="5C097C4E"/>
    <w:rsid w:val="5C0D06A2"/>
    <w:rsid w:val="5C1A3A93"/>
    <w:rsid w:val="5C1C3059"/>
    <w:rsid w:val="5C235386"/>
    <w:rsid w:val="5C2A4E9F"/>
    <w:rsid w:val="5C37782E"/>
    <w:rsid w:val="5C3822CC"/>
    <w:rsid w:val="5C3B6CFC"/>
    <w:rsid w:val="5C4735D5"/>
    <w:rsid w:val="5C4C2C9B"/>
    <w:rsid w:val="5C4C2CF4"/>
    <w:rsid w:val="5C5E6BCC"/>
    <w:rsid w:val="5C6B1600"/>
    <w:rsid w:val="5C6E26BF"/>
    <w:rsid w:val="5C706511"/>
    <w:rsid w:val="5C7A7F52"/>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429B7"/>
    <w:rsid w:val="5DC848B4"/>
    <w:rsid w:val="5DD14397"/>
    <w:rsid w:val="5DD3123F"/>
    <w:rsid w:val="5DD45E00"/>
    <w:rsid w:val="5DD564E5"/>
    <w:rsid w:val="5DD71C7A"/>
    <w:rsid w:val="5DD734EC"/>
    <w:rsid w:val="5DDA4F5F"/>
    <w:rsid w:val="5DDF6E6E"/>
    <w:rsid w:val="5DEC05A1"/>
    <w:rsid w:val="5DEE0433"/>
    <w:rsid w:val="5DEE2993"/>
    <w:rsid w:val="5DFD51DB"/>
    <w:rsid w:val="5E074E49"/>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85A72"/>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D3528D"/>
    <w:rsid w:val="5EE153F8"/>
    <w:rsid w:val="5EE73A31"/>
    <w:rsid w:val="5EE836CB"/>
    <w:rsid w:val="5EEA322F"/>
    <w:rsid w:val="5EED7893"/>
    <w:rsid w:val="5EF427A1"/>
    <w:rsid w:val="5EFA1F02"/>
    <w:rsid w:val="5EFB2125"/>
    <w:rsid w:val="5EFB6F0A"/>
    <w:rsid w:val="5F0A3A61"/>
    <w:rsid w:val="5F114A3D"/>
    <w:rsid w:val="5F3370DF"/>
    <w:rsid w:val="5F683B6E"/>
    <w:rsid w:val="5F684490"/>
    <w:rsid w:val="5F697EE8"/>
    <w:rsid w:val="5F6D06D6"/>
    <w:rsid w:val="5F6E751E"/>
    <w:rsid w:val="5F6E768C"/>
    <w:rsid w:val="5F875C0C"/>
    <w:rsid w:val="5F89013A"/>
    <w:rsid w:val="5F8A0701"/>
    <w:rsid w:val="5F8F0B9E"/>
    <w:rsid w:val="5F8F267A"/>
    <w:rsid w:val="5F941274"/>
    <w:rsid w:val="5F99518A"/>
    <w:rsid w:val="5F9A540B"/>
    <w:rsid w:val="5FAB7F08"/>
    <w:rsid w:val="5FB7185B"/>
    <w:rsid w:val="5FB94C48"/>
    <w:rsid w:val="5FBE576C"/>
    <w:rsid w:val="5FD92450"/>
    <w:rsid w:val="5FDE327E"/>
    <w:rsid w:val="5FEB4E90"/>
    <w:rsid w:val="5FF37587"/>
    <w:rsid w:val="5FF85D1E"/>
    <w:rsid w:val="5FFE57B7"/>
    <w:rsid w:val="5FFF04A2"/>
    <w:rsid w:val="60060CD5"/>
    <w:rsid w:val="60085AA3"/>
    <w:rsid w:val="600E362B"/>
    <w:rsid w:val="60183392"/>
    <w:rsid w:val="601A4CB1"/>
    <w:rsid w:val="601B56CB"/>
    <w:rsid w:val="60237FFC"/>
    <w:rsid w:val="602647A9"/>
    <w:rsid w:val="602C236D"/>
    <w:rsid w:val="603114E4"/>
    <w:rsid w:val="603967D7"/>
    <w:rsid w:val="603D3325"/>
    <w:rsid w:val="604040A8"/>
    <w:rsid w:val="604233CA"/>
    <w:rsid w:val="604310A8"/>
    <w:rsid w:val="60470CE3"/>
    <w:rsid w:val="60485D19"/>
    <w:rsid w:val="604D29BA"/>
    <w:rsid w:val="605C4AD4"/>
    <w:rsid w:val="605C5019"/>
    <w:rsid w:val="606711B4"/>
    <w:rsid w:val="60673C40"/>
    <w:rsid w:val="606975AB"/>
    <w:rsid w:val="606A52D4"/>
    <w:rsid w:val="606C5678"/>
    <w:rsid w:val="607A0897"/>
    <w:rsid w:val="607B4781"/>
    <w:rsid w:val="607C3753"/>
    <w:rsid w:val="607F6EAB"/>
    <w:rsid w:val="608D1D4E"/>
    <w:rsid w:val="60911FEF"/>
    <w:rsid w:val="60923D36"/>
    <w:rsid w:val="6092569C"/>
    <w:rsid w:val="609D0F5A"/>
    <w:rsid w:val="60AC72CC"/>
    <w:rsid w:val="60AD0357"/>
    <w:rsid w:val="60B004BE"/>
    <w:rsid w:val="60B60611"/>
    <w:rsid w:val="60B6381B"/>
    <w:rsid w:val="60BA604C"/>
    <w:rsid w:val="60C302BA"/>
    <w:rsid w:val="60C30855"/>
    <w:rsid w:val="60C338B1"/>
    <w:rsid w:val="60C80101"/>
    <w:rsid w:val="60D4742F"/>
    <w:rsid w:val="60D67C80"/>
    <w:rsid w:val="60D95276"/>
    <w:rsid w:val="60E06DEB"/>
    <w:rsid w:val="60E11714"/>
    <w:rsid w:val="60E51841"/>
    <w:rsid w:val="61110088"/>
    <w:rsid w:val="611647A0"/>
    <w:rsid w:val="613F2524"/>
    <w:rsid w:val="61421EFD"/>
    <w:rsid w:val="614F6F7E"/>
    <w:rsid w:val="615C5041"/>
    <w:rsid w:val="61640524"/>
    <w:rsid w:val="617A6EE7"/>
    <w:rsid w:val="617B616B"/>
    <w:rsid w:val="6182260C"/>
    <w:rsid w:val="6190565E"/>
    <w:rsid w:val="61AA2608"/>
    <w:rsid w:val="61AA3D95"/>
    <w:rsid w:val="61AD68BC"/>
    <w:rsid w:val="61AE786E"/>
    <w:rsid w:val="61B173D2"/>
    <w:rsid w:val="61B25E8F"/>
    <w:rsid w:val="61BC4BE1"/>
    <w:rsid w:val="61C12DE2"/>
    <w:rsid w:val="61D43A2B"/>
    <w:rsid w:val="61E34474"/>
    <w:rsid w:val="61EC3D06"/>
    <w:rsid w:val="61ED6D6A"/>
    <w:rsid w:val="61FF316E"/>
    <w:rsid w:val="62014BDB"/>
    <w:rsid w:val="621542CB"/>
    <w:rsid w:val="621C2930"/>
    <w:rsid w:val="623A4E60"/>
    <w:rsid w:val="624263A2"/>
    <w:rsid w:val="6248722E"/>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402B4"/>
    <w:rsid w:val="62F6011A"/>
    <w:rsid w:val="62FD2BA9"/>
    <w:rsid w:val="63107694"/>
    <w:rsid w:val="6314586E"/>
    <w:rsid w:val="6327422B"/>
    <w:rsid w:val="6328597C"/>
    <w:rsid w:val="633B249F"/>
    <w:rsid w:val="633D1842"/>
    <w:rsid w:val="635123F0"/>
    <w:rsid w:val="63552D76"/>
    <w:rsid w:val="6359778B"/>
    <w:rsid w:val="635B63E3"/>
    <w:rsid w:val="63677698"/>
    <w:rsid w:val="63771D13"/>
    <w:rsid w:val="63791642"/>
    <w:rsid w:val="637C01B3"/>
    <w:rsid w:val="638C3395"/>
    <w:rsid w:val="63B37325"/>
    <w:rsid w:val="63B811CF"/>
    <w:rsid w:val="63B82D87"/>
    <w:rsid w:val="63BA3154"/>
    <w:rsid w:val="63C509F9"/>
    <w:rsid w:val="63CA01D3"/>
    <w:rsid w:val="63CA2E8B"/>
    <w:rsid w:val="63CF097D"/>
    <w:rsid w:val="63D4153E"/>
    <w:rsid w:val="63DA0FA3"/>
    <w:rsid w:val="63DC7755"/>
    <w:rsid w:val="63E43D21"/>
    <w:rsid w:val="63E774B3"/>
    <w:rsid w:val="63F04A04"/>
    <w:rsid w:val="63F24AD5"/>
    <w:rsid w:val="63F47D2A"/>
    <w:rsid w:val="63F6335E"/>
    <w:rsid w:val="63FE2D33"/>
    <w:rsid w:val="64046427"/>
    <w:rsid w:val="640B5788"/>
    <w:rsid w:val="642369FC"/>
    <w:rsid w:val="64254882"/>
    <w:rsid w:val="64264A79"/>
    <w:rsid w:val="64266039"/>
    <w:rsid w:val="642A38B2"/>
    <w:rsid w:val="64304E58"/>
    <w:rsid w:val="64311867"/>
    <w:rsid w:val="64391ED3"/>
    <w:rsid w:val="6445632E"/>
    <w:rsid w:val="64566F9D"/>
    <w:rsid w:val="64596CB3"/>
    <w:rsid w:val="645C7465"/>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900A7"/>
    <w:rsid w:val="64EB5728"/>
    <w:rsid w:val="64FA211B"/>
    <w:rsid w:val="64FB4412"/>
    <w:rsid w:val="64FE700F"/>
    <w:rsid w:val="6500327F"/>
    <w:rsid w:val="6503698F"/>
    <w:rsid w:val="6506609B"/>
    <w:rsid w:val="65083216"/>
    <w:rsid w:val="650A57D3"/>
    <w:rsid w:val="65460728"/>
    <w:rsid w:val="654835A8"/>
    <w:rsid w:val="654C7056"/>
    <w:rsid w:val="654D7A6A"/>
    <w:rsid w:val="65696D87"/>
    <w:rsid w:val="65733E15"/>
    <w:rsid w:val="657D30C6"/>
    <w:rsid w:val="65822810"/>
    <w:rsid w:val="65870C45"/>
    <w:rsid w:val="658F6B54"/>
    <w:rsid w:val="65955CF7"/>
    <w:rsid w:val="659705FF"/>
    <w:rsid w:val="659C60A2"/>
    <w:rsid w:val="65A47504"/>
    <w:rsid w:val="65AA6346"/>
    <w:rsid w:val="65B01B69"/>
    <w:rsid w:val="65B56C47"/>
    <w:rsid w:val="65B7794D"/>
    <w:rsid w:val="65B8262E"/>
    <w:rsid w:val="65BC15EE"/>
    <w:rsid w:val="65C36C95"/>
    <w:rsid w:val="65C73EFE"/>
    <w:rsid w:val="65D23D59"/>
    <w:rsid w:val="65D4773F"/>
    <w:rsid w:val="65DC5939"/>
    <w:rsid w:val="65DC7985"/>
    <w:rsid w:val="65F14641"/>
    <w:rsid w:val="65F5655C"/>
    <w:rsid w:val="65F64F18"/>
    <w:rsid w:val="65FF118E"/>
    <w:rsid w:val="66052F43"/>
    <w:rsid w:val="66065483"/>
    <w:rsid w:val="6609487E"/>
    <w:rsid w:val="660B443C"/>
    <w:rsid w:val="661D25CE"/>
    <w:rsid w:val="66206CF2"/>
    <w:rsid w:val="66265846"/>
    <w:rsid w:val="66287C9C"/>
    <w:rsid w:val="662E4097"/>
    <w:rsid w:val="664805B8"/>
    <w:rsid w:val="665572E9"/>
    <w:rsid w:val="665B14BD"/>
    <w:rsid w:val="665B55EA"/>
    <w:rsid w:val="66641D58"/>
    <w:rsid w:val="66655F85"/>
    <w:rsid w:val="667C7AEC"/>
    <w:rsid w:val="667F71BA"/>
    <w:rsid w:val="668547B8"/>
    <w:rsid w:val="66863A0F"/>
    <w:rsid w:val="668C53CC"/>
    <w:rsid w:val="66984358"/>
    <w:rsid w:val="66987BD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0B6C70"/>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2558C"/>
    <w:rsid w:val="68D507C6"/>
    <w:rsid w:val="68E24981"/>
    <w:rsid w:val="68E62C62"/>
    <w:rsid w:val="68ED60A5"/>
    <w:rsid w:val="69123F86"/>
    <w:rsid w:val="691C1D81"/>
    <w:rsid w:val="691C3525"/>
    <w:rsid w:val="691C4B46"/>
    <w:rsid w:val="69216128"/>
    <w:rsid w:val="69250799"/>
    <w:rsid w:val="69276FF2"/>
    <w:rsid w:val="69280874"/>
    <w:rsid w:val="692E74C3"/>
    <w:rsid w:val="69307671"/>
    <w:rsid w:val="695241D9"/>
    <w:rsid w:val="695D6B21"/>
    <w:rsid w:val="69611EE7"/>
    <w:rsid w:val="69621F5B"/>
    <w:rsid w:val="696C708E"/>
    <w:rsid w:val="696F4D5D"/>
    <w:rsid w:val="69850877"/>
    <w:rsid w:val="698C13C5"/>
    <w:rsid w:val="698E32DB"/>
    <w:rsid w:val="69A17C7E"/>
    <w:rsid w:val="69BD4830"/>
    <w:rsid w:val="69C12919"/>
    <w:rsid w:val="69C71624"/>
    <w:rsid w:val="69EB1E1E"/>
    <w:rsid w:val="69F0745A"/>
    <w:rsid w:val="69F83691"/>
    <w:rsid w:val="6A0D20F2"/>
    <w:rsid w:val="6A117613"/>
    <w:rsid w:val="6A1757B7"/>
    <w:rsid w:val="6A1A2066"/>
    <w:rsid w:val="6A1A4305"/>
    <w:rsid w:val="6A1D59EC"/>
    <w:rsid w:val="6A247F72"/>
    <w:rsid w:val="6A2E5EF8"/>
    <w:rsid w:val="6A3A6D15"/>
    <w:rsid w:val="6A3E2393"/>
    <w:rsid w:val="6A3E360B"/>
    <w:rsid w:val="6A435B92"/>
    <w:rsid w:val="6A444DB8"/>
    <w:rsid w:val="6A471880"/>
    <w:rsid w:val="6A4C28F4"/>
    <w:rsid w:val="6A4D4828"/>
    <w:rsid w:val="6A516AC3"/>
    <w:rsid w:val="6A5303BA"/>
    <w:rsid w:val="6A5B28ED"/>
    <w:rsid w:val="6A677080"/>
    <w:rsid w:val="6A711183"/>
    <w:rsid w:val="6A720BCF"/>
    <w:rsid w:val="6A7B4B9C"/>
    <w:rsid w:val="6A8A1698"/>
    <w:rsid w:val="6AAE7116"/>
    <w:rsid w:val="6AAF014C"/>
    <w:rsid w:val="6ABD60AB"/>
    <w:rsid w:val="6AC07690"/>
    <w:rsid w:val="6ACB082B"/>
    <w:rsid w:val="6ACD3503"/>
    <w:rsid w:val="6AD3247E"/>
    <w:rsid w:val="6AE4699C"/>
    <w:rsid w:val="6AED1BE8"/>
    <w:rsid w:val="6AF00853"/>
    <w:rsid w:val="6AF317C6"/>
    <w:rsid w:val="6B004C6B"/>
    <w:rsid w:val="6B09696B"/>
    <w:rsid w:val="6B250FA2"/>
    <w:rsid w:val="6B2B0EFD"/>
    <w:rsid w:val="6B2C13E4"/>
    <w:rsid w:val="6B2D2EEB"/>
    <w:rsid w:val="6B322952"/>
    <w:rsid w:val="6B410613"/>
    <w:rsid w:val="6B493E2C"/>
    <w:rsid w:val="6B4B0A4C"/>
    <w:rsid w:val="6B4B36C9"/>
    <w:rsid w:val="6B4E75E6"/>
    <w:rsid w:val="6B50310B"/>
    <w:rsid w:val="6B5045E2"/>
    <w:rsid w:val="6B5B3B9E"/>
    <w:rsid w:val="6B5C4553"/>
    <w:rsid w:val="6B62569D"/>
    <w:rsid w:val="6B692897"/>
    <w:rsid w:val="6B695848"/>
    <w:rsid w:val="6B6A1A57"/>
    <w:rsid w:val="6B6D1317"/>
    <w:rsid w:val="6B730045"/>
    <w:rsid w:val="6B736A2E"/>
    <w:rsid w:val="6B762264"/>
    <w:rsid w:val="6B792765"/>
    <w:rsid w:val="6B7964E9"/>
    <w:rsid w:val="6B8642C7"/>
    <w:rsid w:val="6B874340"/>
    <w:rsid w:val="6B884219"/>
    <w:rsid w:val="6B90781F"/>
    <w:rsid w:val="6B95451B"/>
    <w:rsid w:val="6BA6663C"/>
    <w:rsid w:val="6BA9194F"/>
    <w:rsid w:val="6BB07973"/>
    <w:rsid w:val="6BC43854"/>
    <w:rsid w:val="6BCA7437"/>
    <w:rsid w:val="6BE71622"/>
    <w:rsid w:val="6BE727F5"/>
    <w:rsid w:val="6BE80BB5"/>
    <w:rsid w:val="6C001608"/>
    <w:rsid w:val="6C08064C"/>
    <w:rsid w:val="6C0858B3"/>
    <w:rsid w:val="6C132D21"/>
    <w:rsid w:val="6C14347F"/>
    <w:rsid w:val="6C240DF3"/>
    <w:rsid w:val="6C3B053F"/>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0E1E28"/>
    <w:rsid w:val="6D1766A9"/>
    <w:rsid w:val="6D19067C"/>
    <w:rsid w:val="6D1F423E"/>
    <w:rsid w:val="6D221E52"/>
    <w:rsid w:val="6D227835"/>
    <w:rsid w:val="6D231354"/>
    <w:rsid w:val="6D2834C8"/>
    <w:rsid w:val="6D2F1F0B"/>
    <w:rsid w:val="6D343A12"/>
    <w:rsid w:val="6D3C6626"/>
    <w:rsid w:val="6D4E0AF9"/>
    <w:rsid w:val="6D5D0DB5"/>
    <w:rsid w:val="6D6855B1"/>
    <w:rsid w:val="6D6C5D15"/>
    <w:rsid w:val="6D7157A1"/>
    <w:rsid w:val="6D7B4AB7"/>
    <w:rsid w:val="6D831FBE"/>
    <w:rsid w:val="6D836C02"/>
    <w:rsid w:val="6D89784B"/>
    <w:rsid w:val="6D8C7F73"/>
    <w:rsid w:val="6D9057BE"/>
    <w:rsid w:val="6D9E0566"/>
    <w:rsid w:val="6DA035CB"/>
    <w:rsid w:val="6DBE7F27"/>
    <w:rsid w:val="6DC262E7"/>
    <w:rsid w:val="6DD70DD8"/>
    <w:rsid w:val="6DE13755"/>
    <w:rsid w:val="6DEB6238"/>
    <w:rsid w:val="6DED1766"/>
    <w:rsid w:val="6DF43BD4"/>
    <w:rsid w:val="6E0E1FAB"/>
    <w:rsid w:val="6E2143FB"/>
    <w:rsid w:val="6E295363"/>
    <w:rsid w:val="6E317378"/>
    <w:rsid w:val="6E3A4724"/>
    <w:rsid w:val="6E3E5591"/>
    <w:rsid w:val="6E4215C6"/>
    <w:rsid w:val="6E4B0158"/>
    <w:rsid w:val="6E4D611F"/>
    <w:rsid w:val="6E567C9E"/>
    <w:rsid w:val="6E5A2442"/>
    <w:rsid w:val="6E635028"/>
    <w:rsid w:val="6E636A71"/>
    <w:rsid w:val="6E68362E"/>
    <w:rsid w:val="6E685B0A"/>
    <w:rsid w:val="6E687486"/>
    <w:rsid w:val="6E73404A"/>
    <w:rsid w:val="6E7355AA"/>
    <w:rsid w:val="6E7D300B"/>
    <w:rsid w:val="6E823708"/>
    <w:rsid w:val="6E8A3EFB"/>
    <w:rsid w:val="6E920B5B"/>
    <w:rsid w:val="6E990B16"/>
    <w:rsid w:val="6E995AB6"/>
    <w:rsid w:val="6EA30B9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897856"/>
    <w:rsid w:val="6F905BB3"/>
    <w:rsid w:val="6F9A3007"/>
    <w:rsid w:val="6FA629D4"/>
    <w:rsid w:val="6FA75ADB"/>
    <w:rsid w:val="6FB77ED4"/>
    <w:rsid w:val="6FBD3BBF"/>
    <w:rsid w:val="6FBD4D2F"/>
    <w:rsid w:val="6FBF4710"/>
    <w:rsid w:val="6FC9109F"/>
    <w:rsid w:val="6FCC6779"/>
    <w:rsid w:val="6FDB518F"/>
    <w:rsid w:val="6FDF72B1"/>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C54C7"/>
    <w:rsid w:val="70611FB0"/>
    <w:rsid w:val="70655A58"/>
    <w:rsid w:val="706A37E5"/>
    <w:rsid w:val="70822BAD"/>
    <w:rsid w:val="708746BC"/>
    <w:rsid w:val="708A15C0"/>
    <w:rsid w:val="708F7F54"/>
    <w:rsid w:val="7097435B"/>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1E1BAA"/>
    <w:rsid w:val="712A2C1F"/>
    <w:rsid w:val="712A5215"/>
    <w:rsid w:val="712F2B3D"/>
    <w:rsid w:val="712F61BE"/>
    <w:rsid w:val="71323AF9"/>
    <w:rsid w:val="71336A65"/>
    <w:rsid w:val="713A6008"/>
    <w:rsid w:val="7144725F"/>
    <w:rsid w:val="71477B0C"/>
    <w:rsid w:val="7148395C"/>
    <w:rsid w:val="714B215B"/>
    <w:rsid w:val="714E2D72"/>
    <w:rsid w:val="71545B37"/>
    <w:rsid w:val="71570E43"/>
    <w:rsid w:val="71573E01"/>
    <w:rsid w:val="716F00B2"/>
    <w:rsid w:val="71702748"/>
    <w:rsid w:val="71803599"/>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5B7688"/>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52BA7"/>
    <w:rsid w:val="72FD426E"/>
    <w:rsid w:val="73043CFC"/>
    <w:rsid w:val="7317244F"/>
    <w:rsid w:val="7329654B"/>
    <w:rsid w:val="732B736C"/>
    <w:rsid w:val="732C334F"/>
    <w:rsid w:val="733501BF"/>
    <w:rsid w:val="734900F8"/>
    <w:rsid w:val="734F0C79"/>
    <w:rsid w:val="734F4185"/>
    <w:rsid w:val="73520620"/>
    <w:rsid w:val="73536078"/>
    <w:rsid w:val="7363274A"/>
    <w:rsid w:val="73691A4A"/>
    <w:rsid w:val="7371152B"/>
    <w:rsid w:val="73777B4D"/>
    <w:rsid w:val="73777D21"/>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A0435"/>
    <w:rsid w:val="744B354F"/>
    <w:rsid w:val="7450294E"/>
    <w:rsid w:val="74531332"/>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5A4C4E"/>
    <w:rsid w:val="75633812"/>
    <w:rsid w:val="756F29D2"/>
    <w:rsid w:val="75752B04"/>
    <w:rsid w:val="7580654E"/>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C2E10"/>
    <w:rsid w:val="764F5A52"/>
    <w:rsid w:val="76521C57"/>
    <w:rsid w:val="766163C1"/>
    <w:rsid w:val="76665926"/>
    <w:rsid w:val="766A4A0D"/>
    <w:rsid w:val="767E2619"/>
    <w:rsid w:val="768C454B"/>
    <w:rsid w:val="7692667A"/>
    <w:rsid w:val="76982273"/>
    <w:rsid w:val="769A1A97"/>
    <w:rsid w:val="769A7352"/>
    <w:rsid w:val="769C4619"/>
    <w:rsid w:val="76A177B8"/>
    <w:rsid w:val="76A766BF"/>
    <w:rsid w:val="76AD2761"/>
    <w:rsid w:val="76B64E53"/>
    <w:rsid w:val="76B8001A"/>
    <w:rsid w:val="76B81599"/>
    <w:rsid w:val="76B97D11"/>
    <w:rsid w:val="76BB2F21"/>
    <w:rsid w:val="76BC314A"/>
    <w:rsid w:val="76C12918"/>
    <w:rsid w:val="76CC16BA"/>
    <w:rsid w:val="76CF29D3"/>
    <w:rsid w:val="76DC19D4"/>
    <w:rsid w:val="76E91124"/>
    <w:rsid w:val="76EB0D11"/>
    <w:rsid w:val="76EC51FD"/>
    <w:rsid w:val="76F410B8"/>
    <w:rsid w:val="76F70779"/>
    <w:rsid w:val="76F71C30"/>
    <w:rsid w:val="77001F24"/>
    <w:rsid w:val="770A6C33"/>
    <w:rsid w:val="77162729"/>
    <w:rsid w:val="771A04D1"/>
    <w:rsid w:val="771B67DF"/>
    <w:rsid w:val="771E64D7"/>
    <w:rsid w:val="77240552"/>
    <w:rsid w:val="77272CAB"/>
    <w:rsid w:val="772B4341"/>
    <w:rsid w:val="7731599F"/>
    <w:rsid w:val="773A5E14"/>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BF39C7"/>
    <w:rsid w:val="77C078B1"/>
    <w:rsid w:val="77CE7C36"/>
    <w:rsid w:val="77E537F1"/>
    <w:rsid w:val="77E66E3C"/>
    <w:rsid w:val="77E84D6F"/>
    <w:rsid w:val="77EA1FCC"/>
    <w:rsid w:val="77F3789A"/>
    <w:rsid w:val="77F70588"/>
    <w:rsid w:val="77F71324"/>
    <w:rsid w:val="78005A86"/>
    <w:rsid w:val="78011BF1"/>
    <w:rsid w:val="780326B9"/>
    <w:rsid w:val="780332E5"/>
    <w:rsid w:val="7804698A"/>
    <w:rsid w:val="78164B0A"/>
    <w:rsid w:val="7833711D"/>
    <w:rsid w:val="7834483F"/>
    <w:rsid w:val="78460D63"/>
    <w:rsid w:val="78497C2E"/>
    <w:rsid w:val="78502D35"/>
    <w:rsid w:val="7854087B"/>
    <w:rsid w:val="786A4053"/>
    <w:rsid w:val="78717849"/>
    <w:rsid w:val="78782A0D"/>
    <w:rsid w:val="78785A2F"/>
    <w:rsid w:val="787B5060"/>
    <w:rsid w:val="788720E7"/>
    <w:rsid w:val="78A90B04"/>
    <w:rsid w:val="78AC20B5"/>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BD574A"/>
    <w:rsid w:val="79C07B43"/>
    <w:rsid w:val="79C832AC"/>
    <w:rsid w:val="79D33056"/>
    <w:rsid w:val="79D715DF"/>
    <w:rsid w:val="79D85AB0"/>
    <w:rsid w:val="79E16F93"/>
    <w:rsid w:val="79E701E5"/>
    <w:rsid w:val="79EC0256"/>
    <w:rsid w:val="79F60153"/>
    <w:rsid w:val="79FB6E2C"/>
    <w:rsid w:val="79FF7B91"/>
    <w:rsid w:val="7A165123"/>
    <w:rsid w:val="7A1C011A"/>
    <w:rsid w:val="7A2F0864"/>
    <w:rsid w:val="7A36322F"/>
    <w:rsid w:val="7A3B3D4A"/>
    <w:rsid w:val="7A431242"/>
    <w:rsid w:val="7A444657"/>
    <w:rsid w:val="7A4B3D21"/>
    <w:rsid w:val="7A4C2D60"/>
    <w:rsid w:val="7A5458B9"/>
    <w:rsid w:val="7A5E0869"/>
    <w:rsid w:val="7A69432B"/>
    <w:rsid w:val="7A6E4BF5"/>
    <w:rsid w:val="7A6E5088"/>
    <w:rsid w:val="7A7F4A1E"/>
    <w:rsid w:val="7A8246BA"/>
    <w:rsid w:val="7A851D5D"/>
    <w:rsid w:val="7A8A2267"/>
    <w:rsid w:val="7AA07F3B"/>
    <w:rsid w:val="7AAF413A"/>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120E0"/>
    <w:rsid w:val="7B78553B"/>
    <w:rsid w:val="7B786809"/>
    <w:rsid w:val="7B7A004F"/>
    <w:rsid w:val="7B890A24"/>
    <w:rsid w:val="7B8A4A8A"/>
    <w:rsid w:val="7B9E6DBB"/>
    <w:rsid w:val="7BA37095"/>
    <w:rsid w:val="7BAA485C"/>
    <w:rsid w:val="7BAD1591"/>
    <w:rsid w:val="7BCD64C2"/>
    <w:rsid w:val="7BD3716B"/>
    <w:rsid w:val="7BD40348"/>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8F65F9"/>
    <w:rsid w:val="7C9B5288"/>
    <w:rsid w:val="7C9E5A24"/>
    <w:rsid w:val="7CA745A1"/>
    <w:rsid w:val="7CAC476D"/>
    <w:rsid w:val="7CAF4DCB"/>
    <w:rsid w:val="7CB4006B"/>
    <w:rsid w:val="7CB93ABB"/>
    <w:rsid w:val="7CC475DB"/>
    <w:rsid w:val="7CC91267"/>
    <w:rsid w:val="7CCA4C41"/>
    <w:rsid w:val="7CD36BD6"/>
    <w:rsid w:val="7CDE3831"/>
    <w:rsid w:val="7CE05980"/>
    <w:rsid w:val="7CE656F0"/>
    <w:rsid w:val="7CED34FF"/>
    <w:rsid w:val="7CEE5458"/>
    <w:rsid w:val="7CF04D9E"/>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8F3FD8"/>
    <w:rsid w:val="7D9D0A97"/>
    <w:rsid w:val="7D9D438F"/>
    <w:rsid w:val="7DA514D2"/>
    <w:rsid w:val="7DAE6BE3"/>
    <w:rsid w:val="7DB467D2"/>
    <w:rsid w:val="7DCD1A27"/>
    <w:rsid w:val="7DCD4EB5"/>
    <w:rsid w:val="7DDF20BC"/>
    <w:rsid w:val="7DE07962"/>
    <w:rsid w:val="7DE34955"/>
    <w:rsid w:val="7DFF1E31"/>
    <w:rsid w:val="7E0565CD"/>
    <w:rsid w:val="7E090313"/>
    <w:rsid w:val="7E097A5B"/>
    <w:rsid w:val="7E1B1ABE"/>
    <w:rsid w:val="7E3E0FEC"/>
    <w:rsid w:val="7E3E1EF2"/>
    <w:rsid w:val="7E566EA2"/>
    <w:rsid w:val="7E5B15D2"/>
    <w:rsid w:val="7E5B76B4"/>
    <w:rsid w:val="7E5C1ABA"/>
    <w:rsid w:val="7E61281D"/>
    <w:rsid w:val="7E622778"/>
    <w:rsid w:val="7E6A479F"/>
    <w:rsid w:val="7E726401"/>
    <w:rsid w:val="7E756346"/>
    <w:rsid w:val="7E7D055C"/>
    <w:rsid w:val="7E8104AE"/>
    <w:rsid w:val="7E84007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85F9D"/>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57C66"/>
    <w:rsid w:val="7F6A77AB"/>
    <w:rsid w:val="7F6B2248"/>
    <w:rsid w:val="7F720040"/>
    <w:rsid w:val="7F725E7C"/>
    <w:rsid w:val="7F73228D"/>
    <w:rsid w:val="7F761ADC"/>
    <w:rsid w:val="7F7D7A8E"/>
    <w:rsid w:val="7F872588"/>
    <w:rsid w:val="7F8725BA"/>
    <w:rsid w:val="7F8C6A8F"/>
    <w:rsid w:val="7F994DB5"/>
    <w:rsid w:val="7F9C175D"/>
    <w:rsid w:val="7F9F773D"/>
    <w:rsid w:val="7FA85877"/>
    <w:rsid w:val="7FAB3A81"/>
    <w:rsid w:val="7FBB77A4"/>
    <w:rsid w:val="7FCB6843"/>
    <w:rsid w:val="7FDC52B9"/>
    <w:rsid w:val="7FE01D2F"/>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Text"/>
    <w:basedOn w:val="1"/>
    <w:qFormat/>
    <w:uiPriority w:val="0"/>
    <w:pPr>
      <w:keepLines/>
      <w:spacing w:after="240" w:line="240" w:lineRule="auto"/>
      <w:jc w:val="both"/>
    </w:pPr>
    <w:rPr>
      <w:rFonts w:ascii="Arial" w:hAnsi="Arial" w:eastAsia="Times New Roman"/>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57</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2025-08-15T08:07:08Z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0C580A1331B34D89A58F550CB685A983</vt:lpwstr>
  </property>
</Properties>
</file>